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229A9" w14:textId="5FE57B95" w:rsidR="00D65FD8" w:rsidRDefault="00000000" w:rsidP="0050452F">
      <w:pPr>
        <w:spacing w:before="900"/>
      </w:pPr>
      <w:r>
        <w:rPr>
          <w:rFonts w:ascii="Aptos Display" w:hAnsi="Aptos Display"/>
          <w:b/>
          <w:color w:val="17324D"/>
          <w:sz w:val="60"/>
        </w:rPr>
        <w:t>HOW FINANCIAL SHOCKS</w:t>
      </w:r>
      <w:r w:rsidR="0050452F">
        <w:rPr>
          <w:rFonts w:ascii="Aptos Display" w:hAnsi="Aptos Display"/>
          <w:b/>
          <w:color w:val="17324D"/>
          <w:sz w:val="60"/>
        </w:rPr>
        <w:t xml:space="preserve"> </w:t>
      </w:r>
      <w:r>
        <w:rPr>
          <w:rFonts w:ascii="Aptos Display" w:hAnsi="Aptos Display"/>
          <w:b/>
          <w:color w:val="17324D"/>
          <w:sz w:val="60"/>
        </w:rPr>
        <w:t>PROPAGATE</w:t>
      </w:r>
    </w:p>
    <w:p w14:paraId="46B51CF3" w14:textId="77777777" w:rsidR="00D65FD8" w:rsidRPr="001E2C87" w:rsidRDefault="00000000" w:rsidP="0050452F">
      <w:pPr>
        <w:pStyle w:val="Deck"/>
        <w:rPr>
          <w:rStyle w:val="IntenseEmphasis"/>
          <w:color w:val="595959" w:themeColor="text1" w:themeTint="A6"/>
        </w:rPr>
      </w:pPr>
      <w:r w:rsidRPr="001E2C87">
        <w:rPr>
          <w:rStyle w:val="IntenseEmphasis"/>
          <w:color w:val="595959" w:themeColor="text1" w:themeTint="A6"/>
        </w:rPr>
        <w:t>A balance-sheet network model of banks, NBFCs, mutual funds, firms and households</w:t>
      </w:r>
    </w:p>
    <w:p w14:paraId="688F5059" w14:textId="79F0B7E0" w:rsidR="00D65FD8" w:rsidRPr="001E2C87" w:rsidRDefault="00000000" w:rsidP="0050452F">
      <w:pPr>
        <w:pStyle w:val="Lead"/>
        <w:rPr>
          <w:rStyle w:val="IntenseEmphasis"/>
          <w:color w:val="595959" w:themeColor="text1" w:themeTint="A6"/>
        </w:rPr>
      </w:pPr>
      <w:r w:rsidRPr="001E2C87">
        <w:rPr>
          <w:rStyle w:val="IntenseEmphasis"/>
          <w:color w:val="595959" w:themeColor="text1" w:themeTint="A6"/>
        </w:rPr>
        <w:t>Why the same financial system can absorb one shock, cascade under another, and collapse slowly under a third.</w:t>
      </w:r>
    </w:p>
    <w:p w14:paraId="48C06A73" w14:textId="77777777" w:rsidR="001E2C87" w:rsidRDefault="001E2C87" w:rsidP="00C05131">
      <w:pPr>
        <w:rPr>
          <w:rFonts w:eastAsiaTheme="minorEastAsia"/>
          <w:b/>
          <w:color w:val="243748"/>
          <w:sz w:val="24"/>
        </w:rPr>
      </w:pPr>
    </w:p>
    <w:p w14:paraId="5E49462C" w14:textId="77777777" w:rsidR="00D65FD8" w:rsidRDefault="00000000">
      <w:pPr>
        <w:pStyle w:val="Lead"/>
        <w:rPr>
          <w:rFonts w:hint="eastAsia"/>
        </w:rPr>
      </w:pPr>
      <w:r>
        <w:t>A financial shock may begin with a single event: interest rates rise, short-term funding disappears, or a borrower is downgraded. Yet the final damage depends less on the size of that first hit than on what the shock forces institutions to do next.</w:t>
      </w:r>
    </w:p>
    <w:p w14:paraId="3C15E645" w14:textId="77777777" w:rsidR="00D65FD8" w:rsidRDefault="00000000">
      <w:r>
        <w:t>A bank can absorb a valuation loss and continue operating. An NBFC that loses overnight funding may have to cut lending immediately. A mutual fund facing redemptions may sell assets or withdraw cash from banks. Those reactions then become new shocks for everyone connected to them.</w:t>
      </w:r>
    </w:p>
    <w:p w14:paraId="1403642A" w14:textId="1204E699" w:rsidR="00D65FD8" w:rsidRPr="000437F5" w:rsidRDefault="000038DA">
      <w:pPr>
        <w:rPr>
          <w:b/>
          <w:bCs/>
        </w:rPr>
      </w:pPr>
      <w:r w:rsidRPr="000437F5">
        <w:rPr>
          <w:b/>
          <w:bCs/>
        </w:rPr>
        <w:t>The central idea of this model is simple: the crisis is often in the feedback loop, not in the first-round loss.</w:t>
      </w:r>
    </w:p>
    <w:p w14:paraId="612648B1" w14:textId="77777777" w:rsidR="00D65FD8" w:rsidRDefault="00000000">
      <w:r>
        <w:t>To make that mechanism visible, I construct a deliberately simple balance-sheet network for the Indian financial system. It is not intended to reproduce every institutional detail. Its purpose is to isolate the main transmission channels linking banks, non-bank lenders, mutual funds, insurers, firms and households.</w:t>
      </w:r>
    </w:p>
    <w:p w14:paraId="14BF994D" w14:textId="77777777" w:rsidR="00D65FD8" w:rsidRDefault="00000000">
      <w:pPr>
        <w:pStyle w:val="Heading1"/>
      </w:pPr>
      <w:r>
        <w:t>1. Building the financial network</w:t>
      </w:r>
    </w:p>
    <w:p w14:paraId="1568E123" w14:textId="77777777" w:rsidR="00D65FD8" w:rsidRDefault="00000000">
      <w:r>
        <w:t>The model contains eight interconnected entities: a central bank, two commercial banks, one NBFC, a mutual fund, an insurance company, a representative firm and a representative household. Every entity begins with a balanced balance sheet:</w:t>
      </w:r>
    </w:p>
    <w:p w14:paraId="04D997AB" w14:textId="2620B9CD" w:rsidR="00D65FD8" w:rsidRPr="00846414" w:rsidRDefault="00431396">
      <w:pPr>
        <w:rPr>
          <w:b/>
          <w:bCs/>
        </w:rPr>
      </w:pPr>
      <w:r w:rsidRPr="00F86F8B">
        <w:rPr>
          <w:b/>
          <w:bCs/>
        </w:rPr>
        <w:t>Assets = Liabilities + Equity</w:t>
      </w:r>
    </w:p>
    <w:p w14:paraId="2A9C27C8" w14:textId="77777777" w:rsidR="00D65FD8" w:rsidRDefault="00000000">
      <w:r>
        <w:t>The model therefore focuses on stocks and constraints: who holds whose assets, who funds whom, and who is forced to react when a balance-sheet constraint is breached. This lets financial stress be represented as a sequence of accounting adjustments rather than as a sequence of price movements alone.</w:t>
      </w:r>
    </w:p>
    <w:p w14:paraId="43AEE106" w14:textId="77777777" w:rsidR="00D65FD8" w:rsidRDefault="00000000">
      <w:pPr>
        <w:pStyle w:val="Heading2"/>
      </w:pPr>
      <w:r>
        <w:t>Central bank</w:t>
      </w:r>
    </w:p>
    <w:p w14:paraId="26FB73F4" w14:textId="77777777" w:rsidR="00D65FD8" w:rsidRDefault="00000000">
      <w:r>
        <w:t>Holds government bonds, lends to Bank B through repo, creates reserves and holds government deposits. Its repo rate is the official monetary-policy transmission channel.</w:t>
      </w:r>
    </w:p>
    <w:p w14:paraId="179C2A24" w14:textId="77777777" w:rsidR="00D65FD8" w:rsidRDefault="00000000">
      <w:pPr>
        <w:jc w:val="center"/>
      </w:pPr>
      <w:r>
        <w:rPr>
          <w:noProof/>
        </w:rPr>
        <w:lastRenderedPageBreak/>
        <w:drawing>
          <wp:inline distT="0" distB="0" distL="0" distR="0" wp14:anchorId="2CAD461B" wp14:editId="0E673887">
            <wp:extent cx="5989320" cy="40037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6"/>
                    <a:stretch>
                      <a:fillRect/>
                    </a:stretch>
                  </pic:blipFill>
                  <pic:spPr>
                    <a:xfrm>
                      <a:off x="0" y="0"/>
                      <a:ext cx="5989320" cy="4003730"/>
                    </a:xfrm>
                    <a:prstGeom prst="rect">
                      <a:avLst/>
                    </a:prstGeom>
                  </pic:spPr>
                </pic:pic>
              </a:graphicData>
            </a:graphic>
          </wp:inline>
        </w:drawing>
      </w:r>
    </w:p>
    <w:p w14:paraId="5D095A07" w14:textId="77777777" w:rsidR="00D65FD8" w:rsidRDefault="00000000">
      <w:pPr>
        <w:pStyle w:val="Caption"/>
      </w:pPr>
      <w:r>
        <w:t>Illustrative opening balance sheet: Central bank.</w:t>
      </w:r>
    </w:p>
    <w:p w14:paraId="4ACFAC2A" w14:textId="77777777" w:rsidR="00D65FD8" w:rsidRDefault="00000000">
      <w:pPr>
        <w:pStyle w:val="Heading2"/>
      </w:pPr>
      <w:r>
        <w:t>Bank A</w:t>
      </w:r>
    </w:p>
    <w:p w14:paraId="1C0C9722" w14:textId="77777777" w:rsidR="00D65FD8" w:rsidRDefault="00000000">
      <w:r>
        <w:t>A deposit-taking bank that lends to firms and the NBFC, lends reserves to Bank B, participates in repo and reverse repo, and is therefore exposed to both the formal banking system and shadow banking.</w:t>
      </w:r>
    </w:p>
    <w:p w14:paraId="2A0EBEF5" w14:textId="77777777" w:rsidR="00D65FD8" w:rsidRDefault="00000000">
      <w:pPr>
        <w:jc w:val="center"/>
      </w:pPr>
      <w:r>
        <w:rPr>
          <w:noProof/>
        </w:rPr>
        <w:lastRenderedPageBreak/>
        <w:drawing>
          <wp:inline distT="0" distB="0" distL="0" distR="0" wp14:anchorId="28F047CB" wp14:editId="24FF0BCB">
            <wp:extent cx="5989320" cy="49974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7"/>
                    <a:stretch>
                      <a:fillRect/>
                    </a:stretch>
                  </pic:blipFill>
                  <pic:spPr>
                    <a:xfrm>
                      <a:off x="0" y="0"/>
                      <a:ext cx="5989320" cy="4997458"/>
                    </a:xfrm>
                    <a:prstGeom prst="rect">
                      <a:avLst/>
                    </a:prstGeom>
                  </pic:spPr>
                </pic:pic>
              </a:graphicData>
            </a:graphic>
          </wp:inline>
        </w:drawing>
      </w:r>
    </w:p>
    <w:p w14:paraId="12C07B0C" w14:textId="77777777" w:rsidR="00D65FD8" w:rsidRDefault="00000000">
      <w:pPr>
        <w:pStyle w:val="Caption"/>
      </w:pPr>
      <w:r>
        <w:t>Illustrative opening balance sheet: Bank A.</w:t>
      </w:r>
    </w:p>
    <w:p w14:paraId="7D3D3E1E" w14:textId="77777777" w:rsidR="00D65FD8" w:rsidRDefault="00000000">
      <w:pPr>
        <w:pStyle w:val="Heading2"/>
      </w:pPr>
      <w:r>
        <w:t>Bank B</w:t>
      </w:r>
    </w:p>
    <w:p w14:paraId="3184FF08" w14:textId="77777777" w:rsidR="00D65FD8" w:rsidRDefault="00000000">
      <w:r>
        <w:t>A reserve-deficit bank that borrows from Bank A and the central bank and holds securitized NBFC-originated loans through mortgage-backed securities.</w:t>
      </w:r>
    </w:p>
    <w:p w14:paraId="5638B2BE" w14:textId="77777777" w:rsidR="00D65FD8" w:rsidRDefault="00000000">
      <w:pPr>
        <w:jc w:val="center"/>
      </w:pPr>
      <w:r>
        <w:rPr>
          <w:noProof/>
        </w:rPr>
        <w:lastRenderedPageBreak/>
        <w:drawing>
          <wp:inline distT="0" distB="0" distL="0" distR="0" wp14:anchorId="67742470" wp14:editId="6DA6D7A4">
            <wp:extent cx="5989320" cy="38404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8"/>
                    <a:stretch>
                      <a:fillRect/>
                    </a:stretch>
                  </pic:blipFill>
                  <pic:spPr>
                    <a:xfrm>
                      <a:off x="0" y="0"/>
                      <a:ext cx="5989320" cy="3840480"/>
                    </a:xfrm>
                    <a:prstGeom prst="rect">
                      <a:avLst/>
                    </a:prstGeom>
                  </pic:spPr>
                </pic:pic>
              </a:graphicData>
            </a:graphic>
          </wp:inline>
        </w:drawing>
      </w:r>
    </w:p>
    <w:p w14:paraId="582DFEE2" w14:textId="77777777" w:rsidR="00D65FD8" w:rsidRDefault="00000000">
      <w:pPr>
        <w:pStyle w:val="Caption"/>
      </w:pPr>
      <w:r>
        <w:t>Illustrative opening balance sheet: Bank B.</w:t>
      </w:r>
    </w:p>
    <w:p w14:paraId="77981876" w14:textId="77777777" w:rsidR="00D65FD8" w:rsidRDefault="00000000">
      <w:pPr>
        <w:pStyle w:val="Heading2"/>
      </w:pPr>
      <w:r>
        <w:t>NBFC</w:t>
      </w:r>
    </w:p>
    <w:p w14:paraId="20EF6A72" w14:textId="77777777" w:rsidR="00D65FD8" w:rsidRDefault="00000000">
      <w:r>
        <w:t>Borrows short and lends long, has no direct central-bank access or deposit insurance, depends on commercial paper, bank loans and repo, and carries a classic maturity mismatch.</w:t>
      </w:r>
    </w:p>
    <w:p w14:paraId="1BD34965" w14:textId="77777777" w:rsidR="00D65FD8" w:rsidRDefault="00000000">
      <w:pPr>
        <w:jc w:val="center"/>
      </w:pPr>
      <w:r>
        <w:rPr>
          <w:noProof/>
        </w:rPr>
        <w:lastRenderedPageBreak/>
        <w:drawing>
          <wp:inline distT="0" distB="0" distL="0" distR="0" wp14:anchorId="34ABB18E" wp14:editId="39C75B8B">
            <wp:extent cx="5989320" cy="408362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9"/>
                    <a:stretch>
                      <a:fillRect/>
                    </a:stretch>
                  </pic:blipFill>
                  <pic:spPr>
                    <a:xfrm>
                      <a:off x="0" y="0"/>
                      <a:ext cx="5989320" cy="4083627"/>
                    </a:xfrm>
                    <a:prstGeom prst="rect">
                      <a:avLst/>
                    </a:prstGeom>
                  </pic:spPr>
                </pic:pic>
              </a:graphicData>
            </a:graphic>
          </wp:inline>
        </w:drawing>
      </w:r>
    </w:p>
    <w:p w14:paraId="13B36117" w14:textId="77777777" w:rsidR="00D65FD8" w:rsidRDefault="00000000">
      <w:pPr>
        <w:pStyle w:val="Caption"/>
      </w:pPr>
      <w:r>
        <w:t>Illustrative opening balance sheet: NBFC.</w:t>
      </w:r>
    </w:p>
    <w:p w14:paraId="63A06813" w14:textId="77777777" w:rsidR="00D65FD8" w:rsidRDefault="00000000">
      <w:pPr>
        <w:pStyle w:val="Heading2"/>
      </w:pPr>
      <w:r>
        <w:t>Mutual fund</w:t>
      </w:r>
    </w:p>
    <w:p w14:paraId="1BC58E00" w14:textId="77777777" w:rsidR="00D65FD8" w:rsidRDefault="00000000">
      <w:r>
        <w:t>Pools household savings, marks assets to market daily and holds government bonds, NBFC commercial paper, corporate bonds, equities and reverse repo. It is the fastest stress transmitter in the system.</w:t>
      </w:r>
    </w:p>
    <w:p w14:paraId="04E55B76" w14:textId="77777777" w:rsidR="00D65FD8" w:rsidRDefault="00000000">
      <w:pPr>
        <w:jc w:val="center"/>
      </w:pPr>
      <w:r>
        <w:rPr>
          <w:noProof/>
        </w:rPr>
        <w:lastRenderedPageBreak/>
        <w:drawing>
          <wp:inline distT="0" distB="0" distL="0" distR="0" wp14:anchorId="300FBDDC" wp14:editId="66F37D02">
            <wp:extent cx="5989320" cy="46306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0"/>
                    <a:stretch>
                      <a:fillRect/>
                    </a:stretch>
                  </pic:blipFill>
                  <pic:spPr>
                    <a:xfrm>
                      <a:off x="0" y="0"/>
                      <a:ext cx="5989320" cy="4630632"/>
                    </a:xfrm>
                    <a:prstGeom prst="rect">
                      <a:avLst/>
                    </a:prstGeom>
                  </pic:spPr>
                </pic:pic>
              </a:graphicData>
            </a:graphic>
          </wp:inline>
        </w:drawing>
      </w:r>
    </w:p>
    <w:p w14:paraId="6DF27FF4" w14:textId="77777777" w:rsidR="00D65FD8" w:rsidRDefault="00000000">
      <w:pPr>
        <w:pStyle w:val="Caption"/>
      </w:pPr>
      <w:r>
        <w:t>Illustrative opening balance sheet: Mutual fund.</w:t>
      </w:r>
    </w:p>
    <w:p w14:paraId="0B23956D" w14:textId="77777777" w:rsidR="00D65FD8" w:rsidRDefault="00000000">
      <w:pPr>
        <w:pStyle w:val="Heading2"/>
      </w:pPr>
      <w:r>
        <w:t>Insurance company</w:t>
      </w:r>
    </w:p>
    <w:p w14:paraId="6F282BB8" w14:textId="77777777" w:rsidR="00D65FD8" w:rsidRDefault="00000000">
      <w:r>
        <w:t>A long-duration investor with sticky liabilities. It holds government bonds and NBFC-linked securitized assets, making it relatively stabilizing in bond-market stress but exposed to hidden credit risk.</w:t>
      </w:r>
    </w:p>
    <w:p w14:paraId="732229BA" w14:textId="77777777" w:rsidR="00D65FD8" w:rsidRDefault="00000000">
      <w:pPr>
        <w:jc w:val="center"/>
      </w:pPr>
      <w:r>
        <w:rPr>
          <w:noProof/>
        </w:rPr>
        <w:drawing>
          <wp:inline distT="0" distB="0" distL="0" distR="0" wp14:anchorId="260F98A2" wp14:editId="3F5F4FB3">
            <wp:extent cx="5989320" cy="28604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11"/>
                    <a:stretch>
                      <a:fillRect/>
                    </a:stretch>
                  </pic:blipFill>
                  <pic:spPr>
                    <a:xfrm>
                      <a:off x="0" y="0"/>
                      <a:ext cx="5989320" cy="2860433"/>
                    </a:xfrm>
                    <a:prstGeom prst="rect">
                      <a:avLst/>
                    </a:prstGeom>
                  </pic:spPr>
                </pic:pic>
              </a:graphicData>
            </a:graphic>
          </wp:inline>
        </w:drawing>
      </w:r>
    </w:p>
    <w:p w14:paraId="00A7B664" w14:textId="77777777" w:rsidR="00D65FD8" w:rsidRDefault="00000000">
      <w:pPr>
        <w:pStyle w:val="Caption"/>
      </w:pPr>
      <w:r>
        <w:lastRenderedPageBreak/>
        <w:t>Illustrative opening balance sheet: Insurance company.</w:t>
      </w:r>
    </w:p>
    <w:p w14:paraId="3D0CCA82" w14:textId="77777777" w:rsidR="00D65FD8" w:rsidRDefault="00000000">
      <w:pPr>
        <w:pStyle w:val="Heading2"/>
      </w:pPr>
      <w:r>
        <w:t>Firm</w:t>
      </w:r>
    </w:p>
    <w:p w14:paraId="2EC1AF33" w14:textId="77777777" w:rsidR="00D65FD8" w:rsidRDefault="00000000">
      <w:r>
        <w:t>The real-economy borrower. It simultaneously relies on the NBFC, both banks, the bond market and equity investors, so a firm-level default can transmit across several balance sheets at once.</w:t>
      </w:r>
    </w:p>
    <w:p w14:paraId="576B11E4" w14:textId="77777777" w:rsidR="00D65FD8" w:rsidRDefault="00000000">
      <w:pPr>
        <w:jc w:val="center"/>
      </w:pPr>
      <w:r>
        <w:rPr>
          <w:noProof/>
        </w:rPr>
        <w:drawing>
          <wp:inline distT="0" distB="0" distL="0" distR="0" wp14:anchorId="46815F7E" wp14:editId="6C3939F7">
            <wp:extent cx="5989320" cy="39319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12"/>
                    <a:stretch>
                      <a:fillRect/>
                    </a:stretch>
                  </pic:blipFill>
                  <pic:spPr>
                    <a:xfrm>
                      <a:off x="0" y="0"/>
                      <a:ext cx="5989320" cy="3931920"/>
                    </a:xfrm>
                    <a:prstGeom prst="rect">
                      <a:avLst/>
                    </a:prstGeom>
                  </pic:spPr>
                </pic:pic>
              </a:graphicData>
            </a:graphic>
          </wp:inline>
        </w:drawing>
      </w:r>
    </w:p>
    <w:p w14:paraId="419A33EA" w14:textId="77777777" w:rsidR="00D65FD8" w:rsidRDefault="00000000">
      <w:pPr>
        <w:pStyle w:val="Caption"/>
      </w:pPr>
      <w:r>
        <w:t>Illustrative opening balance sheet: Firm.</w:t>
      </w:r>
    </w:p>
    <w:p w14:paraId="53C67AEA" w14:textId="77777777" w:rsidR="00D65FD8" w:rsidRDefault="00000000">
      <w:pPr>
        <w:pStyle w:val="Heading2"/>
      </w:pPr>
      <w:r>
        <w:t>Household</w:t>
      </w:r>
    </w:p>
    <w:p w14:paraId="006633DC" w14:textId="77777777" w:rsidR="00D65FD8" w:rsidRDefault="00000000">
      <w:r>
        <w:t>The ultimate source of deposits and mutual-fund savings, and also a borrower from the NBFC. Household wealth is directly exposed to daily market prices through mutual-fund NAV.</w:t>
      </w:r>
    </w:p>
    <w:p w14:paraId="6BE03205" w14:textId="77777777" w:rsidR="00D65FD8" w:rsidRDefault="00000000">
      <w:pPr>
        <w:jc w:val="center"/>
      </w:pPr>
      <w:r>
        <w:rPr>
          <w:noProof/>
        </w:rPr>
        <w:lastRenderedPageBreak/>
        <w:drawing>
          <wp:inline distT="0" distB="0" distL="0" distR="0" wp14:anchorId="6A71A6B9" wp14:editId="2515F9ED">
            <wp:extent cx="5989320" cy="361951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13"/>
                    <a:stretch>
                      <a:fillRect/>
                    </a:stretch>
                  </pic:blipFill>
                  <pic:spPr>
                    <a:xfrm>
                      <a:off x="0" y="0"/>
                      <a:ext cx="5989320" cy="3619512"/>
                    </a:xfrm>
                    <a:prstGeom prst="rect">
                      <a:avLst/>
                    </a:prstGeom>
                  </pic:spPr>
                </pic:pic>
              </a:graphicData>
            </a:graphic>
          </wp:inline>
        </w:drawing>
      </w:r>
    </w:p>
    <w:p w14:paraId="12EBE561" w14:textId="77777777" w:rsidR="00D65FD8" w:rsidRDefault="00000000">
      <w:pPr>
        <w:pStyle w:val="Caption"/>
      </w:pPr>
      <w:r>
        <w:t>Illustrative opening balance sheet: Household.</w:t>
      </w:r>
    </w:p>
    <w:p w14:paraId="7ECB69F7" w14:textId="77777777" w:rsidR="00D65FD8" w:rsidRDefault="00000000">
      <w:pPr>
        <w:pStyle w:val="Heading2"/>
      </w:pPr>
      <w:r>
        <w:t>Two design choices create realistic contagion</w:t>
      </w:r>
    </w:p>
    <w:p w14:paraId="5CAD1D9E" w14:textId="77777777" w:rsidR="00D65FD8" w:rsidRDefault="00000000">
      <w:r>
        <w:t>First, the mutual fund has no equity buffer. Any loss in its assets immediately reduces NAV and therefore passes directly to households. Because units are marked to market daily, redemption pressure can emerge rapidly.</w:t>
      </w:r>
    </w:p>
    <w:p w14:paraId="78561E05" w14:textId="77777777" w:rsidR="00D65FD8" w:rsidRDefault="00000000">
      <w:r>
        <w:t>Second, the NBFC depends on short-term funding. It borrows through commercial paper, bank loans and repo while lending into longer-duration assets. If funding is not rolled over, the NBFC faces an immediate liquidity problem even before all of its underlying loans have defaulted.</w:t>
      </w:r>
    </w:p>
    <w:p w14:paraId="1ACAAE0A" w14:textId="77777777" w:rsidR="00D65FD8" w:rsidRDefault="00000000">
      <w:pPr>
        <w:pStyle w:val="Heading2"/>
      </w:pPr>
      <w:r>
        <w:t>The network is not a chain</w:t>
      </w:r>
    </w:p>
    <w:p w14:paraId="6C8371CC" w14:textId="77777777" w:rsidR="00D65FD8" w:rsidRDefault="00000000">
      <w:r>
        <w:t>The important links are: mutual fund to NBFC through commercial paper; mutual fund to Bank A through reverse repo; banks to the NBFC through loans and repo; banks and the NBFC to the firm through credit; and households to the mutual fund through investments. Because several institutions are connected in more than one direction, a shock can return to its starting point after travelling through the network.</w:t>
      </w:r>
    </w:p>
    <w:p w14:paraId="09B199D8" w14:textId="77777777" w:rsidR="00D65FD8" w:rsidRDefault="00000000">
      <w:pPr>
        <w:pStyle w:val="Heading1"/>
      </w:pPr>
      <w:r>
        <w:t>2. How the simulation works</w:t>
      </w:r>
    </w:p>
    <w:p w14:paraId="7D67BB52" w14:textId="77777777" w:rsidR="00D65FD8" w:rsidRDefault="00000000">
      <w:r>
        <w:t>A shock is introduced by directly changing the value of an asset or a source of funding. A rate hike reduces bond prices. A commercial-paper freeze cuts NBFC funding from mutual funds. A credit downgrade reduces the value of loans and bonds.</w:t>
      </w:r>
    </w:p>
    <w:p w14:paraId="0F8A406A" w14:textId="77777777" w:rsidR="00D65FD8" w:rsidRDefault="00000000">
      <w:r>
        <w:t>After the initial shock, equity is recomputed as assets minus liabilities. That is Round 0. The model then allows institutions to respond to the constraints they face:</w:t>
      </w:r>
    </w:p>
    <w:p w14:paraId="45D5CD4B" w14:textId="77777777" w:rsidR="00D65FD8" w:rsidRDefault="00000000">
      <w:pPr>
        <w:pStyle w:val="ListBullet"/>
      </w:pPr>
      <w:r>
        <w:t>Mutual funds meet redemptions by selling assets or withdrawing funding.</w:t>
      </w:r>
    </w:p>
    <w:p w14:paraId="36318539" w14:textId="77777777" w:rsidR="00D65FD8" w:rsidRDefault="00000000">
      <w:pPr>
        <w:pStyle w:val="ListBullet"/>
      </w:pPr>
      <w:r>
        <w:t>Banks under stress tighten lending and liquidity provision.</w:t>
      </w:r>
    </w:p>
    <w:p w14:paraId="24D0A06B" w14:textId="77777777" w:rsidR="00D65FD8" w:rsidRDefault="00000000">
      <w:pPr>
        <w:pStyle w:val="ListBullet"/>
      </w:pPr>
      <w:r>
        <w:lastRenderedPageBreak/>
        <w:t>The NBFC cuts lending when funding disappears.</w:t>
      </w:r>
    </w:p>
    <w:p w14:paraId="72A6F200" w14:textId="77777777" w:rsidR="00D65FD8" w:rsidRDefault="00000000">
      <w:pPr>
        <w:pStyle w:val="ListBullet"/>
      </w:pPr>
      <w:r>
        <w:t>Firms deteriorate when the supply of credit contracts.</w:t>
      </w:r>
    </w:p>
    <w:p w14:paraId="099ECEA2" w14:textId="77777777" w:rsidR="00D65FD8" w:rsidRDefault="00000000">
      <w:r>
        <w:t>The system is then recomputed, the responses are applied again, and the process continues until the network stabilizes or one or more entities become insolvent.</w:t>
      </w:r>
    </w:p>
    <w:p w14:paraId="2C69CE3B" w14:textId="77777777" w:rsidR="00D65FD8" w:rsidRDefault="00000000">
      <w:pPr>
        <w:pStyle w:val="ListNumber"/>
      </w:pPr>
      <w:r>
        <w:t>Apply the shock.</w:t>
      </w:r>
    </w:p>
    <w:p w14:paraId="72197BCE" w14:textId="77777777" w:rsidR="00D65FD8" w:rsidRDefault="00000000">
      <w:pPr>
        <w:pStyle w:val="ListNumber"/>
      </w:pPr>
      <w:r>
        <w:t>Recompute all balance sheets.</w:t>
      </w:r>
    </w:p>
    <w:p w14:paraId="56AF8DE3" w14:textId="77777777" w:rsidR="00D65FD8" w:rsidRDefault="00000000">
      <w:pPr>
        <w:pStyle w:val="ListNumber"/>
      </w:pPr>
      <w:r>
        <w:t>Apply behavioural responses forced by liquidity, capital and funding constraints.</w:t>
      </w:r>
    </w:p>
    <w:p w14:paraId="27E327A4" w14:textId="77777777" w:rsidR="00D65FD8" w:rsidRDefault="00000000">
      <w:pPr>
        <w:pStyle w:val="ListNumber"/>
      </w:pPr>
      <w:r>
        <w:t>Recompute again and repeat until stability or insolvency.</w:t>
      </w:r>
    </w:p>
    <w:p w14:paraId="507480D0" w14:textId="77777777" w:rsidR="00D65FD8" w:rsidRDefault="00000000">
      <w:r>
        <w:t>For every simulation, I track equity changes, insolvencies, the number of rounds required for the system to settle, and the amplification of losses relative to the initial impact.</w:t>
      </w:r>
    </w:p>
    <w:p w14:paraId="207E9B48" w14:textId="77777777" w:rsidR="00D65FD8" w:rsidRDefault="00000000">
      <w:pPr>
        <w:pStyle w:val="Heading1"/>
      </w:pPr>
      <w:r>
        <w:t>3. Shock One: a 50-basis-point rate hike</w:t>
      </w:r>
    </w:p>
    <w:p w14:paraId="3417EC54" w14:textId="77777777" w:rsidR="00D65FD8" w:rsidRDefault="00000000">
      <w:r>
        <w:t>The first experiment is a conventional valuation shock. Higher yields reduce the price of fixed-income assets held across the system.</w:t>
      </w:r>
    </w:p>
    <w:tbl>
      <w:tblPr>
        <w:tblStyle w:val="TableGrid"/>
        <w:tblW w:w="0" w:type="auto"/>
        <w:jc w:val="center"/>
        <w:tblLook w:val="04A0" w:firstRow="1" w:lastRow="0" w:firstColumn="1" w:lastColumn="0" w:noHBand="0" w:noVBand="1"/>
      </w:tblPr>
      <w:tblGrid>
        <w:gridCol w:w="2484"/>
        <w:gridCol w:w="2484"/>
        <w:gridCol w:w="2484"/>
        <w:gridCol w:w="2484"/>
      </w:tblGrid>
      <w:tr w:rsidR="00D65FD8" w14:paraId="6ABFEC67" w14:textId="77777777">
        <w:trPr>
          <w:jc w:val="center"/>
        </w:trPr>
        <w:tc>
          <w:tcPr>
            <w:tcW w:w="2484" w:type="dxa"/>
            <w:shd w:val="clear" w:color="auto" w:fill="2F5D7C"/>
            <w:vAlign w:val="center"/>
          </w:tcPr>
          <w:p w14:paraId="14D21DD2" w14:textId="77777777" w:rsidR="00D65FD8" w:rsidRDefault="00000000">
            <w:pPr>
              <w:spacing w:after="0"/>
            </w:pPr>
            <w:r>
              <w:rPr>
                <w:b/>
                <w:color w:val="FFFFFF"/>
                <w:sz w:val="18"/>
              </w:rPr>
              <w:t>Entity</w:t>
            </w:r>
          </w:p>
        </w:tc>
        <w:tc>
          <w:tcPr>
            <w:tcW w:w="2484" w:type="dxa"/>
            <w:shd w:val="clear" w:color="auto" w:fill="2F5D7C"/>
            <w:vAlign w:val="center"/>
          </w:tcPr>
          <w:p w14:paraId="5BCEC9D1" w14:textId="77777777" w:rsidR="00D65FD8" w:rsidRDefault="00000000">
            <w:pPr>
              <w:spacing w:after="0"/>
            </w:pPr>
            <w:r>
              <w:rPr>
                <w:b/>
                <w:color w:val="FFFFFF"/>
                <w:sz w:val="18"/>
              </w:rPr>
              <w:t>Starting equity</w:t>
            </w:r>
          </w:p>
        </w:tc>
        <w:tc>
          <w:tcPr>
            <w:tcW w:w="2484" w:type="dxa"/>
            <w:shd w:val="clear" w:color="auto" w:fill="2F5D7C"/>
            <w:vAlign w:val="center"/>
          </w:tcPr>
          <w:p w14:paraId="27215089" w14:textId="77777777" w:rsidR="00D65FD8" w:rsidRDefault="00000000">
            <w:pPr>
              <w:spacing w:after="0"/>
            </w:pPr>
            <w:r>
              <w:rPr>
                <w:b/>
                <w:color w:val="FFFFFF"/>
                <w:sz w:val="18"/>
              </w:rPr>
              <w:t>Round 0 equity</w:t>
            </w:r>
          </w:p>
        </w:tc>
        <w:tc>
          <w:tcPr>
            <w:tcW w:w="2484" w:type="dxa"/>
            <w:shd w:val="clear" w:color="auto" w:fill="2F5D7C"/>
            <w:vAlign w:val="center"/>
          </w:tcPr>
          <w:p w14:paraId="441B6A0A" w14:textId="77777777" w:rsidR="00D65FD8" w:rsidRDefault="00000000">
            <w:pPr>
              <w:spacing w:after="0"/>
            </w:pPr>
            <w:r>
              <w:rPr>
                <w:b/>
                <w:color w:val="FFFFFF"/>
                <w:sz w:val="18"/>
              </w:rPr>
              <w:t>Loss</w:t>
            </w:r>
          </w:p>
        </w:tc>
      </w:tr>
      <w:tr w:rsidR="00D65FD8" w14:paraId="65AC10E1" w14:textId="77777777">
        <w:trPr>
          <w:jc w:val="center"/>
        </w:trPr>
        <w:tc>
          <w:tcPr>
            <w:tcW w:w="2484" w:type="dxa"/>
            <w:vAlign w:val="center"/>
          </w:tcPr>
          <w:p w14:paraId="5FDD2566" w14:textId="77777777" w:rsidR="00D65FD8" w:rsidRDefault="00000000">
            <w:pPr>
              <w:spacing w:after="0"/>
            </w:pPr>
            <w:r>
              <w:rPr>
                <w:sz w:val="18"/>
              </w:rPr>
              <w:t>Bank A</w:t>
            </w:r>
          </w:p>
        </w:tc>
        <w:tc>
          <w:tcPr>
            <w:tcW w:w="2484" w:type="dxa"/>
            <w:vAlign w:val="center"/>
          </w:tcPr>
          <w:p w14:paraId="41F0AF2B" w14:textId="77777777" w:rsidR="00D65FD8" w:rsidRDefault="00000000">
            <w:pPr>
              <w:spacing w:after="0"/>
            </w:pPr>
            <w:r>
              <w:rPr>
                <w:sz w:val="18"/>
              </w:rPr>
              <w:t>10.00</w:t>
            </w:r>
          </w:p>
        </w:tc>
        <w:tc>
          <w:tcPr>
            <w:tcW w:w="2484" w:type="dxa"/>
            <w:vAlign w:val="center"/>
          </w:tcPr>
          <w:p w14:paraId="497CDACA" w14:textId="77777777" w:rsidR="00D65FD8" w:rsidRDefault="00000000">
            <w:pPr>
              <w:spacing w:after="0"/>
            </w:pPr>
            <w:r>
              <w:rPr>
                <w:sz w:val="18"/>
              </w:rPr>
              <w:t>8.55</w:t>
            </w:r>
          </w:p>
        </w:tc>
        <w:tc>
          <w:tcPr>
            <w:tcW w:w="2484" w:type="dxa"/>
            <w:vAlign w:val="center"/>
          </w:tcPr>
          <w:p w14:paraId="55E24CE0" w14:textId="77777777" w:rsidR="00D65FD8" w:rsidRDefault="00000000">
            <w:pPr>
              <w:spacing w:after="0"/>
            </w:pPr>
            <w:r>
              <w:rPr>
                <w:sz w:val="18"/>
              </w:rPr>
              <w:t>-1.45</w:t>
            </w:r>
          </w:p>
        </w:tc>
      </w:tr>
      <w:tr w:rsidR="00D65FD8" w14:paraId="2CD4BDDB" w14:textId="77777777">
        <w:trPr>
          <w:jc w:val="center"/>
        </w:trPr>
        <w:tc>
          <w:tcPr>
            <w:tcW w:w="2484" w:type="dxa"/>
            <w:vAlign w:val="center"/>
          </w:tcPr>
          <w:p w14:paraId="151069F9" w14:textId="77777777" w:rsidR="00D65FD8" w:rsidRDefault="00000000">
            <w:pPr>
              <w:spacing w:after="0"/>
            </w:pPr>
            <w:r>
              <w:rPr>
                <w:sz w:val="18"/>
              </w:rPr>
              <w:t>Bank B</w:t>
            </w:r>
          </w:p>
        </w:tc>
        <w:tc>
          <w:tcPr>
            <w:tcW w:w="2484" w:type="dxa"/>
            <w:vAlign w:val="center"/>
          </w:tcPr>
          <w:p w14:paraId="31BE2DF4" w14:textId="77777777" w:rsidR="00D65FD8" w:rsidRDefault="00000000">
            <w:pPr>
              <w:spacing w:after="0"/>
            </w:pPr>
            <w:r>
              <w:rPr>
                <w:sz w:val="18"/>
              </w:rPr>
              <w:t>20.00</w:t>
            </w:r>
          </w:p>
        </w:tc>
        <w:tc>
          <w:tcPr>
            <w:tcW w:w="2484" w:type="dxa"/>
            <w:vAlign w:val="center"/>
          </w:tcPr>
          <w:p w14:paraId="67F5C1D4" w14:textId="77777777" w:rsidR="00D65FD8" w:rsidRDefault="00000000">
            <w:pPr>
              <w:spacing w:after="0"/>
            </w:pPr>
            <w:r>
              <w:rPr>
                <w:sz w:val="18"/>
              </w:rPr>
              <w:t>18.90</w:t>
            </w:r>
          </w:p>
        </w:tc>
        <w:tc>
          <w:tcPr>
            <w:tcW w:w="2484" w:type="dxa"/>
            <w:vAlign w:val="center"/>
          </w:tcPr>
          <w:p w14:paraId="5A19DA33" w14:textId="77777777" w:rsidR="00D65FD8" w:rsidRDefault="00000000">
            <w:pPr>
              <w:spacing w:after="0"/>
            </w:pPr>
            <w:r>
              <w:rPr>
                <w:sz w:val="18"/>
              </w:rPr>
              <w:t>-1.10</w:t>
            </w:r>
          </w:p>
        </w:tc>
      </w:tr>
      <w:tr w:rsidR="00D65FD8" w14:paraId="23D9B915" w14:textId="77777777">
        <w:trPr>
          <w:jc w:val="center"/>
        </w:trPr>
        <w:tc>
          <w:tcPr>
            <w:tcW w:w="2484" w:type="dxa"/>
            <w:vAlign w:val="center"/>
          </w:tcPr>
          <w:p w14:paraId="7884408A" w14:textId="77777777" w:rsidR="00D65FD8" w:rsidRDefault="00000000">
            <w:pPr>
              <w:spacing w:after="0"/>
            </w:pPr>
            <w:r>
              <w:rPr>
                <w:sz w:val="18"/>
              </w:rPr>
              <w:t>NBFC</w:t>
            </w:r>
          </w:p>
        </w:tc>
        <w:tc>
          <w:tcPr>
            <w:tcW w:w="2484" w:type="dxa"/>
            <w:vAlign w:val="center"/>
          </w:tcPr>
          <w:p w14:paraId="04ACE100" w14:textId="77777777" w:rsidR="00D65FD8" w:rsidRDefault="00000000">
            <w:pPr>
              <w:spacing w:after="0"/>
            </w:pPr>
            <w:r>
              <w:rPr>
                <w:sz w:val="18"/>
              </w:rPr>
              <w:t>10.00</w:t>
            </w:r>
          </w:p>
        </w:tc>
        <w:tc>
          <w:tcPr>
            <w:tcW w:w="2484" w:type="dxa"/>
            <w:vAlign w:val="center"/>
          </w:tcPr>
          <w:p w14:paraId="77408202" w14:textId="77777777" w:rsidR="00D65FD8" w:rsidRDefault="00000000">
            <w:pPr>
              <w:spacing w:after="0"/>
            </w:pPr>
            <w:r>
              <w:rPr>
                <w:sz w:val="18"/>
              </w:rPr>
              <w:t>8.70</w:t>
            </w:r>
          </w:p>
        </w:tc>
        <w:tc>
          <w:tcPr>
            <w:tcW w:w="2484" w:type="dxa"/>
            <w:vAlign w:val="center"/>
          </w:tcPr>
          <w:p w14:paraId="00C86BBC" w14:textId="77777777" w:rsidR="00D65FD8" w:rsidRDefault="00000000">
            <w:pPr>
              <w:spacing w:after="0"/>
            </w:pPr>
            <w:r>
              <w:rPr>
                <w:sz w:val="18"/>
              </w:rPr>
              <w:t>-1.30</w:t>
            </w:r>
          </w:p>
        </w:tc>
      </w:tr>
      <w:tr w:rsidR="00D65FD8" w14:paraId="47EED361" w14:textId="77777777">
        <w:trPr>
          <w:jc w:val="center"/>
        </w:trPr>
        <w:tc>
          <w:tcPr>
            <w:tcW w:w="2484" w:type="dxa"/>
            <w:vAlign w:val="center"/>
          </w:tcPr>
          <w:p w14:paraId="729E0D6E" w14:textId="77777777" w:rsidR="00D65FD8" w:rsidRDefault="00000000">
            <w:pPr>
              <w:spacing w:after="0"/>
            </w:pPr>
            <w:r>
              <w:rPr>
                <w:sz w:val="18"/>
              </w:rPr>
              <w:t>Insurance</w:t>
            </w:r>
          </w:p>
        </w:tc>
        <w:tc>
          <w:tcPr>
            <w:tcW w:w="2484" w:type="dxa"/>
            <w:vAlign w:val="center"/>
          </w:tcPr>
          <w:p w14:paraId="34762026" w14:textId="77777777" w:rsidR="00D65FD8" w:rsidRDefault="00000000">
            <w:pPr>
              <w:spacing w:after="0"/>
            </w:pPr>
            <w:r>
              <w:rPr>
                <w:sz w:val="18"/>
              </w:rPr>
              <w:t>25.00</w:t>
            </w:r>
          </w:p>
        </w:tc>
        <w:tc>
          <w:tcPr>
            <w:tcW w:w="2484" w:type="dxa"/>
            <w:vAlign w:val="center"/>
          </w:tcPr>
          <w:p w14:paraId="32BC1252" w14:textId="77777777" w:rsidR="00D65FD8" w:rsidRDefault="00000000">
            <w:pPr>
              <w:spacing w:after="0"/>
            </w:pPr>
            <w:r>
              <w:rPr>
                <w:sz w:val="18"/>
              </w:rPr>
              <w:t>24.50</w:t>
            </w:r>
          </w:p>
        </w:tc>
        <w:tc>
          <w:tcPr>
            <w:tcW w:w="2484" w:type="dxa"/>
            <w:vAlign w:val="center"/>
          </w:tcPr>
          <w:p w14:paraId="74179653" w14:textId="77777777" w:rsidR="00D65FD8" w:rsidRDefault="00000000">
            <w:pPr>
              <w:spacing w:after="0"/>
            </w:pPr>
            <w:r>
              <w:rPr>
                <w:sz w:val="18"/>
              </w:rPr>
              <w:t>-0.50</w:t>
            </w:r>
          </w:p>
        </w:tc>
      </w:tr>
      <w:tr w:rsidR="00D65FD8" w14:paraId="4046344D" w14:textId="77777777">
        <w:trPr>
          <w:jc w:val="center"/>
        </w:trPr>
        <w:tc>
          <w:tcPr>
            <w:tcW w:w="2484" w:type="dxa"/>
            <w:vAlign w:val="center"/>
          </w:tcPr>
          <w:p w14:paraId="3030195D" w14:textId="77777777" w:rsidR="00D65FD8" w:rsidRDefault="00000000">
            <w:pPr>
              <w:spacing w:after="0"/>
            </w:pPr>
            <w:r>
              <w:rPr>
                <w:sz w:val="18"/>
              </w:rPr>
              <w:t>Household</w:t>
            </w:r>
          </w:p>
        </w:tc>
        <w:tc>
          <w:tcPr>
            <w:tcW w:w="2484" w:type="dxa"/>
            <w:vAlign w:val="center"/>
          </w:tcPr>
          <w:p w14:paraId="4049D88E" w14:textId="77777777" w:rsidR="00D65FD8" w:rsidRDefault="00000000">
            <w:pPr>
              <w:spacing w:after="0"/>
            </w:pPr>
            <w:r>
              <w:rPr>
                <w:sz w:val="18"/>
              </w:rPr>
              <w:t>70.00</w:t>
            </w:r>
          </w:p>
        </w:tc>
        <w:tc>
          <w:tcPr>
            <w:tcW w:w="2484" w:type="dxa"/>
            <w:vAlign w:val="center"/>
          </w:tcPr>
          <w:p w14:paraId="6C059C45" w14:textId="77777777" w:rsidR="00D65FD8" w:rsidRDefault="00000000">
            <w:pPr>
              <w:spacing w:after="0"/>
            </w:pPr>
            <w:r>
              <w:rPr>
                <w:sz w:val="18"/>
              </w:rPr>
              <w:t>69.38</w:t>
            </w:r>
          </w:p>
        </w:tc>
        <w:tc>
          <w:tcPr>
            <w:tcW w:w="2484" w:type="dxa"/>
            <w:vAlign w:val="center"/>
          </w:tcPr>
          <w:p w14:paraId="2E48F75B" w14:textId="77777777" w:rsidR="00D65FD8" w:rsidRDefault="00000000">
            <w:pPr>
              <w:spacing w:after="0"/>
            </w:pPr>
            <w:r>
              <w:rPr>
                <w:sz w:val="18"/>
              </w:rPr>
              <w:t>-0.62</w:t>
            </w:r>
          </w:p>
        </w:tc>
      </w:tr>
      <w:tr w:rsidR="00D65FD8" w14:paraId="4092116D" w14:textId="77777777">
        <w:trPr>
          <w:jc w:val="center"/>
        </w:trPr>
        <w:tc>
          <w:tcPr>
            <w:tcW w:w="2484" w:type="dxa"/>
            <w:vAlign w:val="center"/>
          </w:tcPr>
          <w:p w14:paraId="60514A6F" w14:textId="77777777" w:rsidR="00D65FD8" w:rsidRDefault="00000000">
            <w:pPr>
              <w:spacing w:after="0"/>
            </w:pPr>
            <w:r>
              <w:rPr>
                <w:sz w:val="18"/>
              </w:rPr>
              <w:t>Mutual fund</w:t>
            </w:r>
          </w:p>
        </w:tc>
        <w:tc>
          <w:tcPr>
            <w:tcW w:w="2484" w:type="dxa"/>
            <w:vAlign w:val="center"/>
          </w:tcPr>
          <w:p w14:paraId="29A163B6" w14:textId="77777777" w:rsidR="00D65FD8" w:rsidRDefault="00000000">
            <w:pPr>
              <w:spacing w:after="0"/>
            </w:pPr>
            <w:r>
              <w:rPr>
                <w:sz w:val="18"/>
              </w:rPr>
              <w:t>0.00</w:t>
            </w:r>
          </w:p>
        </w:tc>
        <w:tc>
          <w:tcPr>
            <w:tcW w:w="2484" w:type="dxa"/>
            <w:vAlign w:val="center"/>
          </w:tcPr>
          <w:p w14:paraId="2F7AF95C" w14:textId="77777777" w:rsidR="00D65FD8" w:rsidRDefault="00000000">
            <w:pPr>
              <w:spacing w:after="0"/>
            </w:pPr>
            <w:r>
              <w:rPr>
                <w:sz w:val="18"/>
              </w:rPr>
              <w:t>0.00</w:t>
            </w:r>
          </w:p>
        </w:tc>
        <w:tc>
          <w:tcPr>
            <w:tcW w:w="2484" w:type="dxa"/>
            <w:vAlign w:val="center"/>
          </w:tcPr>
          <w:p w14:paraId="1BBD19C3" w14:textId="77777777" w:rsidR="00D65FD8" w:rsidRDefault="00000000">
            <w:pPr>
              <w:spacing w:after="0"/>
            </w:pPr>
            <w:r>
              <w:rPr>
                <w:sz w:val="18"/>
              </w:rPr>
              <w:t>0.00</w:t>
            </w:r>
          </w:p>
        </w:tc>
      </w:tr>
      <w:tr w:rsidR="00D65FD8" w14:paraId="216EE558" w14:textId="77777777">
        <w:trPr>
          <w:jc w:val="center"/>
        </w:trPr>
        <w:tc>
          <w:tcPr>
            <w:tcW w:w="2484" w:type="dxa"/>
            <w:vAlign w:val="center"/>
          </w:tcPr>
          <w:p w14:paraId="3EB3564B" w14:textId="77777777" w:rsidR="00D65FD8" w:rsidRDefault="00000000">
            <w:pPr>
              <w:spacing w:after="0"/>
            </w:pPr>
            <w:r>
              <w:rPr>
                <w:sz w:val="18"/>
              </w:rPr>
              <w:t>Firm</w:t>
            </w:r>
          </w:p>
        </w:tc>
        <w:tc>
          <w:tcPr>
            <w:tcW w:w="2484" w:type="dxa"/>
            <w:vAlign w:val="center"/>
          </w:tcPr>
          <w:p w14:paraId="010250F8" w14:textId="77777777" w:rsidR="00D65FD8" w:rsidRDefault="00000000">
            <w:pPr>
              <w:spacing w:after="0"/>
            </w:pPr>
            <w:r>
              <w:rPr>
                <w:sz w:val="18"/>
              </w:rPr>
              <w:t>0.00</w:t>
            </w:r>
          </w:p>
        </w:tc>
        <w:tc>
          <w:tcPr>
            <w:tcW w:w="2484" w:type="dxa"/>
            <w:vAlign w:val="center"/>
          </w:tcPr>
          <w:p w14:paraId="50E8E5C7" w14:textId="77777777" w:rsidR="00D65FD8" w:rsidRDefault="00000000">
            <w:pPr>
              <w:spacing w:after="0"/>
            </w:pPr>
            <w:r>
              <w:rPr>
                <w:sz w:val="18"/>
              </w:rPr>
              <w:t>0.00</w:t>
            </w:r>
          </w:p>
        </w:tc>
        <w:tc>
          <w:tcPr>
            <w:tcW w:w="2484" w:type="dxa"/>
            <w:vAlign w:val="center"/>
          </w:tcPr>
          <w:p w14:paraId="11C3D92A" w14:textId="77777777" w:rsidR="00D65FD8" w:rsidRDefault="00000000">
            <w:pPr>
              <w:spacing w:after="0"/>
            </w:pPr>
            <w:r>
              <w:rPr>
                <w:sz w:val="18"/>
              </w:rPr>
              <w:t>0.00</w:t>
            </w:r>
          </w:p>
        </w:tc>
      </w:tr>
    </w:tbl>
    <w:p w14:paraId="36612694" w14:textId="77777777" w:rsidR="00D65FD8" w:rsidRDefault="00000000">
      <w:r>
        <w:t>No entity breaches a constraint. No funding is withdrawn, no balance sheet is forcibly contracted, and the simulation stops after the first round. Total amplification is therefore 0%.</w:t>
      </w:r>
    </w:p>
    <w:p w14:paraId="4811CBCA" w14:textId="77777777" w:rsidR="00D65FD8" w:rsidRDefault="00000000">
      <w:pPr>
        <w:jc w:val="center"/>
      </w:pPr>
      <w:r>
        <w:rPr>
          <w:noProof/>
        </w:rPr>
        <w:drawing>
          <wp:inline distT="0" distB="0" distL="0" distR="0" wp14:anchorId="5721B018" wp14:editId="426D6EFF">
            <wp:extent cx="5029200" cy="257010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pic:nvPicPr>
                  <pic:blipFill>
                    <a:blip r:embed="rId14"/>
                    <a:stretch>
                      <a:fillRect/>
                    </a:stretch>
                  </pic:blipFill>
                  <pic:spPr>
                    <a:xfrm>
                      <a:off x="0" y="0"/>
                      <a:ext cx="5029200" cy="2570101"/>
                    </a:xfrm>
                    <a:prstGeom prst="rect">
                      <a:avLst/>
                    </a:prstGeom>
                  </pic:spPr>
                </pic:pic>
              </a:graphicData>
            </a:graphic>
          </wp:inline>
        </w:drawing>
      </w:r>
    </w:p>
    <w:p w14:paraId="6DC3DDEB" w14:textId="77777777" w:rsidR="00D65FD8" w:rsidRDefault="00000000">
      <w:pPr>
        <w:pStyle w:val="Caption"/>
      </w:pPr>
      <w:r>
        <w:t>Rate-hike mechanism: asset prices fall, but equity buffers absorb the loss and prevent propagation.</w:t>
      </w:r>
    </w:p>
    <w:tbl>
      <w:tblPr>
        <w:tblW w:w="0" w:type="auto"/>
        <w:jc w:val="center"/>
        <w:tblLook w:val="04A0" w:firstRow="1" w:lastRow="0" w:firstColumn="1" w:lastColumn="0" w:noHBand="0" w:noVBand="1"/>
      </w:tblPr>
      <w:tblGrid>
        <w:gridCol w:w="9936"/>
      </w:tblGrid>
      <w:tr w:rsidR="00D65FD8" w14:paraId="501B7537" w14:textId="77777777">
        <w:trPr>
          <w:jc w:val="center"/>
        </w:trPr>
        <w:tc>
          <w:tcPr>
            <w:tcW w:w="9936" w:type="dxa"/>
            <w:shd w:val="clear" w:color="auto" w:fill="EAF2F7"/>
          </w:tcPr>
          <w:p w14:paraId="0E2582E6" w14:textId="77777777" w:rsidR="00D65FD8" w:rsidRDefault="00000000">
            <w:pPr>
              <w:pStyle w:val="Callout"/>
              <w:rPr>
                <w:rFonts w:hint="eastAsia"/>
              </w:rPr>
            </w:pPr>
            <w:r>
              <w:t>A 50 bps rate hike reduces Bank A equity by 1.45, yet it does not trigger a systemic response.</w:t>
            </w:r>
          </w:p>
        </w:tc>
      </w:tr>
    </w:tbl>
    <w:p w14:paraId="486C99A5" w14:textId="77777777" w:rsidR="00D65FD8" w:rsidRDefault="00D65FD8"/>
    <w:p w14:paraId="094F208B" w14:textId="77777777" w:rsidR="00D65FD8" w:rsidRDefault="00000000">
      <w:r>
        <w:lastRenderedPageBreak/>
        <w:t>The important point is not that rate hikes are harmless. It is that this particular shock remains a pure valuation shock inside this model. Existing capital buffers are sufficient, so the first-round losses do not force any institution to deleverage or withdraw funding.</w:t>
      </w:r>
    </w:p>
    <w:p w14:paraId="3BA0208E" w14:textId="77777777" w:rsidR="00D65FD8" w:rsidRDefault="00000000">
      <w:pPr>
        <w:pStyle w:val="Heading1"/>
      </w:pPr>
      <w:r>
        <w:t>4. Shock Two: a 50% freeze in commercial-paper funding</w:t>
      </w:r>
    </w:p>
    <w:p w14:paraId="090DB9F0" w14:textId="77777777" w:rsidR="00D65FD8" w:rsidRDefault="00000000">
      <w:r>
        <w:t>The second experiment strikes the system at its liquidity constraint. Mutual funds stop rolling over half of the commercial paper used by the NBFC. The initial event is concentrated, but the response is immediate and systemic.</w:t>
      </w:r>
    </w:p>
    <w:p w14:paraId="6EA2D133" w14:textId="77777777" w:rsidR="00D65FD8" w:rsidRDefault="00000000">
      <w:pPr>
        <w:pStyle w:val="Heading2"/>
      </w:pPr>
      <w:r>
        <w:t>Round 0: the localized shock</w:t>
      </w:r>
    </w:p>
    <w:tbl>
      <w:tblPr>
        <w:tblStyle w:val="TableGrid"/>
        <w:tblW w:w="0" w:type="auto"/>
        <w:jc w:val="center"/>
        <w:tblLook w:val="04A0" w:firstRow="1" w:lastRow="0" w:firstColumn="1" w:lastColumn="0" w:noHBand="0" w:noVBand="1"/>
      </w:tblPr>
      <w:tblGrid>
        <w:gridCol w:w="2484"/>
        <w:gridCol w:w="2484"/>
        <w:gridCol w:w="2484"/>
        <w:gridCol w:w="2484"/>
      </w:tblGrid>
      <w:tr w:rsidR="00D65FD8" w14:paraId="726C3209" w14:textId="77777777">
        <w:trPr>
          <w:jc w:val="center"/>
        </w:trPr>
        <w:tc>
          <w:tcPr>
            <w:tcW w:w="2484" w:type="dxa"/>
            <w:shd w:val="clear" w:color="auto" w:fill="8A4B3B"/>
            <w:vAlign w:val="center"/>
          </w:tcPr>
          <w:p w14:paraId="77408763" w14:textId="77777777" w:rsidR="00D65FD8" w:rsidRDefault="00000000">
            <w:pPr>
              <w:spacing w:after="0"/>
            </w:pPr>
            <w:r>
              <w:rPr>
                <w:b/>
                <w:color w:val="FFFFFF"/>
                <w:sz w:val="18"/>
              </w:rPr>
              <w:t>Entity</w:t>
            </w:r>
          </w:p>
        </w:tc>
        <w:tc>
          <w:tcPr>
            <w:tcW w:w="2484" w:type="dxa"/>
            <w:shd w:val="clear" w:color="auto" w:fill="8A4B3B"/>
            <w:vAlign w:val="center"/>
          </w:tcPr>
          <w:p w14:paraId="0196D688" w14:textId="77777777" w:rsidR="00D65FD8" w:rsidRDefault="00000000">
            <w:pPr>
              <w:spacing w:after="0"/>
            </w:pPr>
            <w:r>
              <w:rPr>
                <w:b/>
                <w:color w:val="FFFFFF"/>
                <w:sz w:val="18"/>
              </w:rPr>
              <w:t>Starting equity</w:t>
            </w:r>
          </w:p>
        </w:tc>
        <w:tc>
          <w:tcPr>
            <w:tcW w:w="2484" w:type="dxa"/>
            <w:shd w:val="clear" w:color="auto" w:fill="8A4B3B"/>
            <w:vAlign w:val="center"/>
          </w:tcPr>
          <w:p w14:paraId="12B0D2BC" w14:textId="77777777" w:rsidR="00D65FD8" w:rsidRDefault="00000000">
            <w:pPr>
              <w:spacing w:after="0"/>
            </w:pPr>
            <w:r>
              <w:rPr>
                <w:b/>
                <w:color w:val="FFFFFF"/>
                <w:sz w:val="18"/>
              </w:rPr>
              <w:t>Round 0 equity</w:t>
            </w:r>
          </w:p>
        </w:tc>
        <w:tc>
          <w:tcPr>
            <w:tcW w:w="2484" w:type="dxa"/>
            <w:shd w:val="clear" w:color="auto" w:fill="8A4B3B"/>
            <w:vAlign w:val="center"/>
          </w:tcPr>
          <w:p w14:paraId="24913A09" w14:textId="77777777" w:rsidR="00D65FD8" w:rsidRDefault="00000000">
            <w:pPr>
              <w:spacing w:after="0"/>
            </w:pPr>
            <w:r>
              <w:rPr>
                <w:b/>
                <w:color w:val="FFFFFF"/>
                <w:sz w:val="18"/>
              </w:rPr>
              <w:t>Initial loss</w:t>
            </w:r>
          </w:p>
        </w:tc>
      </w:tr>
      <w:tr w:rsidR="00D65FD8" w14:paraId="2B5D2457" w14:textId="77777777">
        <w:trPr>
          <w:jc w:val="center"/>
        </w:trPr>
        <w:tc>
          <w:tcPr>
            <w:tcW w:w="2484" w:type="dxa"/>
            <w:vAlign w:val="center"/>
          </w:tcPr>
          <w:p w14:paraId="3BC885C2" w14:textId="77777777" w:rsidR="00D65FD8" w:rsidRDefault="00000000">
            <w:pPr>
              <w:spacing w:after="0"/>
            </w:pPr>
            <w:r>
              <w:rPr>
                <w:sz w:val="18"/>
              </w:rPr>
              <w:t>NBFC</w:t>
            </w:r>
          </w:p>
        </w:tc>
        <w:tc>
          <w:tcPr>
            <w:tcW w:w="2484" w:type="dxa"/>
            <w:vAlign w:val="center"/>
          </w:tcPr>
          <w:p w14:paraId="16C036BA" w14:textId="77777777" w:rsidR="00D65FD8" w:rsidRDefault="00000000">
            <w:pPr>
              <w:spacing w:after="0"/>
            </w:pPr>
            <w:r>
              <w:rPr>
                <w:sz w:val="18"/>
              </w:rPr>
              <w:t>10.00</w:t>
            </w:r>
          </w:p>
        </w:tc>
        <w:tc>
          <w:tcPr>
            <w:tcW w:w="2484" w:type="dxa"/>
            <w:vAlign w:val="center"/>
          </w:tcPr>
          <w:p w14:paraId="6700297A" w14:textId="77777777" w:rsidR="00D65FD8" w:rsidRDefault="00000000">
            <w:pPr>
              <w:spacing w:after="0"/>
            </w:pPr>
            <w:r>
              <w:rPr>
                <w:sz w:val="18"/>
              </w:rPr>
              <w:t>-7.50</w:t>
            </w:r>
          </w:p>
        </w:tc>
        <w:tc>
          <w:tcPr>
            <w:tcW w:w="2484" w:type="dxa"/>
            <w:vAlign w:val="center"/>
          </w:tcPr>
          <w:p w14:paraId="0C441819" w14:textId="77777777" w:rsidR="00D65FD8" w:rsidRDefault="00000000">
            <w:pPr>
              <w:spacing w:after="0"/>
            </w:pPr>
            <w:r>
              <w:rPr>
                <w:sz w:val="18"/>
              </w:rPr>
              <w:t>-17.50</w:t>
            </w:r>
          </w:p>
        </w:tc>
      </w:tr>
      <w:tr w:rsidR="00D65FD8" w14:paraId="30EA8E07" w14:textId="77777777">
        <w:trPr>
          <w:jc w:val="center"/>
        </w:trPr>
        <w:tc>
          <w:tcPr>
            <w:tcW w:w="2484" w:type="dxa"/>
            <w:vAlign w:val="center"/>
          </w:tcPr>
          <w:p w14:paraId="2F47EC5B" w14:textId="77777777" w:rsidR="00D65FD8" w:rsidRDefault="00000000">
            <w:pPr>
              <w:spacing w:after="0"/>
            </w:pPr>
            <w:r>
              <w:rPr>
                <w:sz w:val="18"/>
              </w:rPr>
              <w:t>Mutual fund</w:t>
            </w:r>
          </w:p>
        </w:tc>
        <w:tc>
          <w:tcPr>
            <w:tcW w:w="2484" w:type="dxa"/>
            <w:vAlign w:val="center"/>
          </w:tcPr>
          <w:p w14:paraId="75433539" w14:textId="77777777" w:rsidR="00D65FD8" w:rsidRDefault="00000000">
            <w:pPr>
              <w:spacing w:after="0"/>
            </w:pPr>
            <w:r>
              <w:rPr>
                <w:sz w:val="18"/>
              </w:rPr>
              <w:t>0.00</w:t>
            </w:r>
          </w:p>
        </w:tc>
        <w:tc>
          <w:tcPr>
            <w:tcW w:w="2484" w:type="dxa"/>
            <w:vAlign w:val="center"/>
          </w:tcPr>
          <w:p w14:paraId="2E5DC791" w14:textId="77777777" w:rsidR="00D65FD8" w:rsidRDefault="00000000">
            <w:pPr>
              <w:spacing w:after="0"/>
            </w:pPr>
            <w:r>
              <w:rPr>
                <w:sz w:val="18"/>
              </w:rPr>
              <w:t>-15.00</w:t>
            </w:r>
          </w:p>
        </w:tc>
        <w:tc>
          <w:tcPr>
            <w:tcW w:w="2484" w:type="dxa"/>
            <w:vAlign w:val="center"/>
          </w:tcPr>
          <w:p w14:paraId="5EBDC2E4" w14:textId="77777777" w:rsidR="00D65FD8" w:rsidRDefault="00000000">
            <w:pPr>
              <w:spacing w:after="0"/>
            </w:pPr>
            <w:r>
              <w:rPr>
                <w:sz w:val="18"/>
              </w:rPr>
              <w:t>-15.00</w:t>
            </w:r>
          </w:p>
        </w:tc>
      </w:tr>
      <w:tr w:rsidR="00D65FD8" w14:paraId="58966122" w14:textId="77777777">
        <w:trPr>
          <w:jc w:val="center"/>
        </w:trPr>
        <w:tc>
          <w:tcPr>
            <w:tcW w:w="2484" w:type="dxa"/>
            <w:vAlign w:val="center"/>
          </w:tcPr>
          <w:p w14:paraId="31577D48" w14:textId="77777777" w:rsidR="00D65FD8" w:rsidRDefault="00000000">
            <w:pPr>
              <w:spacing w:after="0"/>
            </w:pPr>
            <w:r>
              <w:rPr>
                <w:sz w:val="18"/>
              </w:rPr>
              <w:t>Bank A</w:t>
            </w:r>
          </w:p>
        </w:tc>
        <w:tc>
          <w:tcPr>
            <w:tcW w:w="2484" w:type="dxa"/>
            <w:vAlign w:val="center"/>
          </w:tcPr>
          <w:p w14:paraId="046E0BBA" w14:textId="77777777" w:rsidR="00D65FD8" w:rsidRDefault="00000000">
            <w:pPr>
              <w:spacing w:after="0"/>
            </w:pPr>
            <w:r>
              <w:rPr>
                <w:sz w:val="18"/>
              </w:rPr>
              <w:t>10.00</w:t>
            </w:r>
          </w:p>
        </w:tc>
        <w:tc>
          <w:tcPr>
            <w:tcW w:w="2484" w:type="dxa"/>
            <w:vAlign w:val="center"/>
          </w:tcPr>
          <w:p w14:paraId="0CC48683" w14:textId="77777777" w:rsidR="00D65FD8" w:rsidRDefault="00000000">
            <w:pPr>
              <w:spacing w:after="0"/>
            </w:pPr>
            <w:r>
              <w:rPr>
                <w:sz w:val="18"/>
              </w:rPr>
              <w:t>7.50</w:t>
            </w:r>
          </w:p>
        </w:tc>
        <w:tc>
          <w:tcPr>
            <w:tcW w:w="2484" w:type="dxa"/>
            <w:vAlign w:val="center"/>
          </w:tcPr>
          <w:p w14:paraId="6A68FBF2" w14:textId="77777777" w:rsidR="00D65FD8" w:rsidRDefault="00000000">
            <w:pPr>
              <w:spacing w:after="0"/>
            </w:pPr>
            <w:r>
              <w:rPr>
                <w:sz w:val="18"/>
              </w:rPr>
              <w:t>-2.50</w:t>
            </w:r>
          </w:p>
        </w:tc>
      </w:tr>
      <w:tr w:rsidR="00D65FD8" w14:paraId="59B3D63B" w14:textId="77777777">
        <w:trPr>
          <w:jc w:val="center"/>
        </w:trPr>
        <w:tc>
          <w:tcPr>
            <w:tcW w:w="2484" w:type="dxa"/>
            <w:vAlign w:val="center"/>
          </w:tcPr>
          <w:p w14:paraId="1C19369C" w14:textId="77777777" w:rsidR="00D65FD8" w:rsidRDefault="00000000">
            <w:pPr>
              <w:spacing w:after="0"/>
            </w:pPr>
            <w:r>
              <w:rPr>
                <w:sz w:val="18"/>
              </w:rPr>
              <w:t>Bank B</w:t>
            </w:r>
          </w:p>
        </w:tc>
        <w:tc>
          <w:tcPr>
            <w:tcW w:w="2484" w:type="dxa"/>
            <w:vAlign w:val="center"/>
          </w:tcPr>
          <w:p w14:paraId="0E50CFAC" w14:textId="77777777" w:rsidR="00D65FD8" w:rsidRDefault="00000000">
            <w:pPr>
              <w:spacing w:after="0"/>
            </w:pPr>
            <w:r>
              <w:rPr>
                <w:sz w:val="18"/>
              </w:rPr>
              <w:t>20.00</w:t>
            </w:r>
          </w:p>
        </w:tc>
        <w:tc>
          <w:tcPr>
            <w:tcW w:w="2484" w:type="dxa"/>
            <w:vAlign w:val="center"/>
          </w:tcPr>
          <w:p w14:paraId="4D3BBA86" w14:textId="77777777" w:rsidR="00D65FD8" w:rsidRDefault="00000000">
            <w:pPr>
              <w:spacing w:after="0"/>
            </w:pPr>
            <w:r>
              <w:rPr>
                <w:sz w:val="18"/>
              </w:rPr>
              <w:t>18.50</w:t>
            </w:r>
          </w:p>
        </w:tc>
        <w:tc>
          <w:tcPr>
            <w:tcW w:w="2484" w:type="dxa"/>
            <w:vAlign w:val="center"/>
          </w:tcPr>
          <w:p w14:paraId="076F73A3" w14:textId="77777777" w:rsidR="00D65FD8" w:rsidRDefault="00000000">
            <w:pPr>
              <w:spacing w:after="0"/>
            </w:pPr>
            <w:r>
              <w:rPr>
                <w:sz w:val="18"/>
              </w:rPr>
              <w:t>-1.50</w:t>
            </w:r>
          </w:p>
        </w:tc>
      </w:tr>
      <w:tr w:rsidR="00D65FD8" w14:paraId="0D4A8AAC" w14:textId="77777777">
        <w:trPr>
          <w:jc w:val="center"/>
        </w:trPr>
        <w:tc>
          <w:tcPr>
            <w:tcW w:w="2484" w:type="dxa"/>
            <w:vAlign w:val="center"/>
          </w:tcPr>
          <w:p w14:paraId="632E811B" w14:textId="77777777" w:rsidR="00D65FD8" w:rsidRDefault="00000000">
            <w:pPr>
              <w:spacing w:after="0"/>
            </w:pPr>
            <w:r>
              <w:rPr>
                <w:sz w:val="18"/>
              </w:rPr>
              <w:t>Insurance</w:t>
            </w:r>
          </w:p>
        </w:tc>
        <w:tc>
          <w:tcPr>
            <w:tcW w:w="2484" w:type="dxa"/>
            <w:vAlign w:val="center"/>
          </w:tcPr>
          <w:p w14:paraId="0A1BC353" w14:textId="77777777" w:rsidR="00D65FD8" w:rsidRDefault="00000000">
            <w:pPr>
              <w:spacing w:after="0"/>
            </w:pPr>
            <w:r>
              <w:rPr>
                <w:sz w:val="18"/>
              </w:rPr>
              <w:t>25.00</w:t>
            </w:r>
          </w:p>
        </w:tc>
        <w:tc>
          <w:tcPr>
            <w:tcW w:w="2484" w:type="dxa"/>
            <w:vAlign w:val="center"/>
          </w:tcPr>
          <w:p w14:paraId="66210AD0" w14:textId="77777777" w:rsidR="00D65FD8" w:rsidRDefault="00000000">
            <w:pPr>
              <w:spacing w:after="0"/>
            </w:pPr>
            <w:r>
              <w:rPr>
                <w:sz w:val="18"/>
              </w:rPr>
              <w:t>23.50</w:t>
            </w:r>
          </w:p>
        </w:tc>
        <w:tc>
          <w:tcPr>
            <w:tcW w:w="2484" w:type="dxa"/>
            <w:vAlign w:val="center"/>
          </w:tcPr>
          <w:p w14:paraId="1CA8A83A" w14:textId="77777777" w:rsidR="00D65FD8" w:rsidRDefault="00000000">
            <w:pPr>
              <w:spacing w:after="0"/>
            </w:pPr>
            <w:r>
              <w:rPr>
                <w:sz w:val="18"/>
              </w:rPr>
              <w:t>-1.50</w:t>
            </w:r>
          </w:p>
        </w:tc>
      </w:tr>
      <w:tr w:rsidR="00D65FD8" w14:paraId="44FCBD0B" w14:textId="77777777">
        <w:trPr>
          <w:jc w:val="center"/>
        </w:trPr>
        <w:tc>
          <w:tcPr>
            <w:tcW w:w="2484" w:type="dxa"/>
            <w:vAlign w:val="center"/>
          </w:tcPr>
          <w:p w14:paraId="7FB6948A" w14:textId="77777777" w:rsidR="00D65FD8" w:rsidRDefault="00000000">
            <w:pPr>
              <w:spacing w:after="0"/>
            </w:pPr>
            <w:r>
              <w:rPr>
                <w:sz w:val="18"/>
              </w:rPr>
              <w:t>Household</w:t>
            </w:r>
          </w:p>
        </w:tc>
        <w:tc>
          <w:tcPr>
            <w:tcW w:w="2484" w:type="dxa"/>
            <w:vAlign w:val="center"/>
          </w:tcPr>
          <w:p w14:paraId="1A6D6AD8" w14:textId="77777777" w:rsidR="00D65FD8" w:rsidRDefault="00000000">
            <w:pPr>
              <w:spacing w:after="0"/>
            </w:pPr>
            <w:r>
              <w:rPr>
                <w:sz w:val="18"/>
              </w:rPr>
              <w:t>70.00</w:t>
            </w:r>
          </w:p>
        </w:tc>
        <w:tc>
          <w:tcPr>
            <w:tcW w:w="2484" w:type="dxa"/>
            <w:vAlign w:val="center"/>
          </w:tcPr>
          <w:p w14:paraId="72A8ABEB" w14:textId="77777777" w:rsidR="00D65FD8" w:rsidRDefault="00000000">
            <w:pPr>
              <w:spacing w:after="0"/>
            </w:pPr>
            <w:r>
              <w:rPr>
                <w:sz w:val="18"/>
              </w:rPr>
              <w:t>69.00</w:t>
            </w:r>
          </w:p>
        </w:tc>
        <w:tc>
          <w:tcPr>
            <w:tcW w:w="2484" w:type="dxa"/>
            <w:vAlign w:val="center"/>
          </w:tcPr>
          <w:p w14:paraId="4BD85334" w14:textId="77777777" w:rsidR="00D65FD8" w:rsidRDefault="00000000">
            <w:pPr>
              <w:spacing w:after="0"/>
            </w:pPr>
            <w:r>
              <w:rPr>
                <w:sz w:val="18"/>
              </w:rPr>
              <w:t>-1.00</w:t>
            </w:r>
          </w:p>
        </w:tc>
      </w:tr>
      <w:tr w:rsidR="00D65FD8" w14:paraId="66D0AB76" w14:textId="77777777">
        <w:trPr>
          <w:jc w:val="center"/>
        </w:trPr>
        <w:tc>
          <w:tcPr>
            <w:tcW w:w="2484" w:type="dxa"/>
            <w:vAlign w:val="center"/>
          </w:tcPr>
          <w:p w14:paraId="2EED2FF4" w14:textId="77777777" w:rsidR="00D65FD8" w:rsidRDefault="00000000">
            <w:pPr>
              <w:spacing w:after="0"/>
            </w:pPr>
            <w:r>
              <w:rPr>
                <w:sz w:val="18"/>
              </w:rPr>
              <w:t>Firm</w:t>
            </w:r>
          </w:p>
        </w:tc>
        <w:tc>
          <w:tcPr>
            <w:tcW w:w="2484" w:type="dxa"/>
            <w:vAlign w:val="center"/>
          </w:tcPr>
          <w:p w14:paraId="5C557F20" w14:textId="77777777" w:rsidR="00D65FD8" w:rsidRDefault="00000000">
            <w:pPr>
              <w:spacing w:after="0"/>
            </w:pPr>
            <w:r>
              <w:rPr>
                <w:sz w:val="18"/>
              </w:rPr>
              <w:t>0.00</w:t>
            </w:r>
          </w:p>
        </w:tc>
        <w:tc>
          <w:tcPr>
            <w:tcW w:w="2484" w:type="dxa"/>
            <w:vAlign w:val="center"/>
          </w:tcPr>
          <w:p w14:paraId="56FAE682" w14:textId="77777777" w:rsidR="00D65FD8" w:rsidRDefault="00000000">
            <w:pPr>
              <w:spacing w:after="0"/>
            </w:pPr>
            <w:r>
              <w:rPr>
                <w:sz w:val="18"/>
              </w:rPr>
              <w:t>0.00</w:t>
            </w:r>
          </w:p>
        </w:tc>
        <w:tc>
          <w:tcPr>
            <w:tcW w:w="2484" w:type="dxa"/>
            <w:vAlign w:val="center"/>
          </w:tcPr>
          <w:p w14:paraId="7269FB0A" w14:textId="77777777" w:rsidR="00D65FD8" w:rsidRDefault="00000000">
            <w:pPr>
              <w:spacing w:after="0"/>
            </w:pPr>
            <w:r>
              <w:rPr>
                <w:sz w:val="18"/>
              </w:rPr>
              <w:t>0.00</w:t>
            </w:r>
          </w:p>
        </w:tc>
      </w:tr>
    </w:tbl>
    <w:p w14:paraId="6E4EBF62" w14:textId="77777777" w:rsidR="00D65FD8" w:rsidRDefault="00000000">
      <w:r>
        <w:t>The NBFC is already effectively wiped out, while the mutual fund is deeply negative. But Round 0 is only the beginning.</w:t>
      </w:r>
    </w:p>
    <w:p w14:paraId="5E10F38F" w14:textId="77777777" w:rsidR="00D65FD8" w:rsidRDefault="00000000">
      <w:pPr>
        <w:pStyle w:val="Heading2"/>
      </w:pPr>
      <w:r>
        <w:t>Round 1: the feedback loop activates</w:t>
      </w:r>
    </w:p>
    <w:p w14:paraId="4B5C9096" w14:textId="77777777" w:rsidR="00D65FD8" w:rsidRDefault="00000000">
      <w:r>
        <w:t>Households redeem mutual-fund units. The fund must meet those redemptions, so it liquidates assets and withdraws money placed with Bank A through reverse repo. The mutual fund’s equity falls further from -15.00 to -16.89.</w:t>
      </w:r>
    </w:p>
    <w:p w14:paraId="3923A9F4" w14:textId="77777777" w:rsidR="00D65FD8" w:rsidRDefault="00000000">
      <w:r>
        <w:t>Bank A then takes a secondary hit. Its equity declines from 7.50 to 3.94. Its total loss becomes 6.06 compared with an initial loss of 2.50—an increase of 142% caused by feedback rather than by the original funding freeze alone.</w:t>
      </w:r>
    </w:p>
    <w:p w14:paraId="283BB8DA" w14:textId="77777777" w:rsidR="00D65FD8" w:rsidRDefault="00000000">
      <w:r>
        <w:t>The NBFC remains insolvent, moving from -7.50 to -7.97. It has no commercial-paper funding and bank funding tightens. The contraction now reaches the real economy: the firm moves from 0.00 to -0.52 as NBFC lending is cut. Household equity falls from 69.00 to 67.11, making the total household loss 2.89—almost three times the initial loss of 1.00.</w:t>
      </w:r>
    </w:p>
    <w:p w14:paraId="162F5A6A" w14:textId="77777777" w:rsidR="00D65FD8" w:rsidRDefault="00000000">
      <w:pPr>
        <w:jc w:val="center"/>
      </w:pPr>
      <w:r>
        <w:rPr>
          <w:noProof/>
        </w:rPr>
        <w:lastRenderedPageBreak/>
        <w:drawing>
          <wp:inline distT="0" distB="0" distL="0" distR="0" wp14:anchorId="7B480426" wp14:editId="14D42C01">
            <wp:extent cx="5029200" cy="54169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pic:nvPicPr>
                  <pic:blipFill>
                    <a:blip r:embed="rId15"/>
                    <a:stretch>
                      <a:fillRect/>
                    </a:stretch>
                  </pic:blipFill>
                  <pic:spPr>
                    <a:xfrm>
                      <a:off x="0" y="0"/>
                      <a:ext cx="5029200" cy="5416994"/>
                    </a:xfrm>
                    <a:prstGeom prst="rect">
                      <a:avLst/>
                    </a:prstGeom>
                  </pic:spPr>
                </pic:pic>
              </a:graphicData>
            </a:graphic>
          </wp:inline>
        </w:drawing>
      </w:r>
    </w:p>
    <w:p w14:paraId="31AC5878" w14:textId="77777777" w:rsidR="00D65FD8" w:rsidRDefault="00000000">
      <w:pPr>
        <w:pStyle w:val="Caption"/>
      </w:pPr>
      <w:r>
        <w:t>Commercial-paper freeze: funding loss triggers a liquidity crisis, asset sales, redemptions and a second tightening of NBFC funding.</w:t>
      </w:r>
    </w:p>
    <w:tbl>
      <w:tblPr>
        <w:tblStyle w:val="TableGrid"/>
        <w:tblW w:w="0" w:type="auto"/>
        <w:jc w:val="center"/>
        <w:tblLook w:val="04A0" w:firstRow="1" w:lastRow="0" w:firstColumn="1" w:lastColumn="0" w:noHBand="0" w:noVBand="1"/>
      </w:tblPr>
      <w:tblGrid>
        <w:gridCol w:w="2484"/>
        <w:gridCol w:w="2484"/>
        <w:gridCol w:w="2484"/>
        <w:gridCol w:w="2484"/>
      </w:tblGrid>
      <w:tr w:rsidR="00D65FD8" w14:paraId="7FE128B7" w14:textId="77777777">
        <w:trPr>
          <w:jc w:val="center"/>
        </w:trPr>
        <w:tc>
          <w:tcPr>
            <w:tcW w:w="2484" w:type="dxa"/>
            <w:shd w:val="clear" w:color="auto" w:fill="2F5D7C"/>
            <w:vAlign w:val="center"/>
          </w:tcPr>
          <w:p w14:paraId="3BCAC3C5" w14:textId="77777777" w:rsidR="00D65FD8" w:rsidRDefault="00000000">
            <w:pPr>
              <w:spacing w:after="0"/>
            </w:pPr>
            <w:r>
              <w:rPr>
                <w:b/>
                <w:color w:val="FFFFFF"/>
                <w:sz w:val="18"/>
              </w:rPr>
              <w:t>Entity</w:t>
            </w:r>
          </w:p>
        </w:tc>
        <w:tc>
          <w:tcPr>
            <w:tcW w:w="2484" w:type="dxa"/>
            <w:shd w:val="clear" w:color="auto" w:fill="2F5D7C"/>
            <w:vAlign w:val="center"/>
          </w:tcPr>
          <w:p w14:paraId="6CC51DAD" w14:textId="77777777" w:rsidR="00D65FD8" w:rsidRDefault="00000000">
            <w:pPr>
              <w:spacing w:after="0"/>
            </w:pPr>
            <w:r>
              <w:rPr>
                <w:b/>
                <w:color w:val="FFFFFF"/>
                <w:sz w:val="18"/>
              </w:rPr>
              <w:t>Round 0</w:t>
            </w:r>
          </w:p>
        </w:tc>
        <w:tc>
          <w:tcPr>
            <w:tcW w:w="2484" w:type="dxa"/>
            <w:shd w:val="clear" w:color="auto" w:fill="2F5D7C"/>
            <w:vAlign w:val="center"/>
          </w:tcPr>
          <w:p w14:paraId="61107021" w14:textId="77777777" w:rsidR="00D65FD8" w:rsidRDefault="00000000">
            <w:pPr>
              <w:spacing w:after="0"/>
            </w:pPr>
            <w:r>
              <w:rPr>
                <w:b/>
                <w:color w:val="FFFFFF"/>
                <w:sz w:val="18"/>
              </w:rPr>
              <w:t>Final equity</w:t>
            </w:r>
          </w:p>
        </w:tc>
        <w:tc>
          <w:tcPr>
            <w:tcW w:w="2484" w:type="dxa"/>
            <w:shd w:val="clear" w:color="auto" w:fill="2F5D7C"/>
            <w:vAlign w:val="center"/>
          </w:tcPr>
          <w:p w14:paraId="4EAA8C9C" w14:textId="77777777" w:rsidR="00D65FD8" w:rsidRDefault="00000000">
            <w:pPr>
              <w:spacing w:after="0"/>
            </w:pPr>
            <w:r>
              <w:rPr>
                <w:b/>
                <w:color w:val="FFFFFF"/>
                <w:sz w:val="18"/>
              </w:rPr>
              <w:t>Total outcome</w:t>
            </w:r>
          </w:p>
        </w:tc>
      </w:tr>
      <w:tr w:rsidR="00D65FD8" w14:paraId="47F71C83" w14:textId="77777777">
        <w:trPr>
          <w:jc w:val="center"/>
        </w:trPr>
        <w:tc>
          <w:tcPr>
            <w:tcW w:w="2484" w:type="dxa"/>
            <w:vAlign w:val="center"/>
          </w:tcPr>
          <w:p w14:paraId="7BE3F1D5" w14:textId="77777777" w:rsidR="00D65FD8" w:rsidRDefault="00000000">
            <w:pPr>
              <w:spacing w:after="0"/>
            </w:pPr>
            <w:r>
              <w:rPr>
                <w:sz w:val="18"/>
              </w:rPr>
              <w:t>Bank A</w:t>
            </w:r>
          </w:p>
        </w:tc>
        <w:tc>
          <w:tcPr>
            <w:tcW w:w="2484" w:type="dxa"/>
            <w:vAlign w:val="center"/>
          </w:tcPr>
          <w:p w14:paraId="72C1743C" w14:textId="77777777" w:rsidR="00D65FD8" w:rsidRDefault="00000000">
            <w:pPr>
              <w:spacing w:after="0"/>
            </w:pPr>
            <w:r>
              <w:rPr>
                <w:sz w:val="18"/>
              </w:rPr>
              <w:t>7.50</w:t>
            </w:r>
          </w:p>
        </w:tc>
        <w:tc>
          <w:tcPr>
            <w:tcW w:w="2484" w:type="dxa"/>
            <w:vAlign w:val="center"/>
          </w:tcPr>
          <w:p w14:paraId="02950561" w14:textId="77777777" w:rsidR="00D65FD8" w:rsidRDefault="00000000">
            <w:pPr>
              <w:spacing w:after="0"/>
            </w:pPr>
            <w:r>
              <w:rPr>
                <w:sz w:val="18"/>
              </w:rPr>
              <w:t>3.94</w:t>
            </w:r>
          </w:p>
        </w:tc>
        <w:tc>
          <w:tcPr>
            <w:tcW w:w="2484" w:type="dxa"/>
            <w:vAlign w:val="center"/>
          </w:tcPr>
          <w:p w14:paraId="29FC1D27" w14:textId="77777777" w:rsidR="00D65FD8" w:rsidRDefault="00000000">
            <w:pPr>
              <w:spacing w:after="0"/>
            </w:pPr>
            <w:r>
              <w:rPr>
                <w:sz w:val="18"/>
              </w:rPr>
              <w:t>-6.06</w:t>
            </w:r>
          </w:p>
        </w:tc>
      </w:tr>
      <w:tr w:rsidR="00D65FD8" w14:paraId="70835F1B" w14:textId="77777777">
        <w:trPr>
          <w:jc w:val="center"/>
        </w:trPr>
        <w:tc>
          <w:tcPr>
            <w:tcW w:w="2484" w:type="dxa"/>
            <w:vAlign w:val="center"/>
          </w:tcPr>
          <w:p w14:paraId="6E0DB909" w14:textId="77777777" w:rsidR="00D65FD8" w:rsidRDefault="00000000">
            <w:pPr>
              <w:spacing w:after="0"/>
            </w:pPr>
            <w:r>
              <w:rPr>
                <w:sz w:val="18"/>
              </w:rPr>
              <w:t>NBFC</w:t>
            </w:r>
          </w:p>
        </w:tc>
        <w:tc>
          <w:tcPr>
            <w:tcW w:w="2484" w:type="dxa"/>
            <w:vAlign w:val="center"/>
          </w:tcPr>
          <w:p w14:paraId="1F807A3E" w14:textId="77777777" w:rsidR="00D65FD8" w:rsidRDefault="00000000">
            <w:pPr>
              <w:spacing w:after="0"/>
            </w:pPr>
            <w:r>
              <w:rPr>
                <w:sz w:val="18"/>
              </w:rPr>
              <w:t>-7.50</w:t>
            </w:r>
          </w:p>
        </w:tc>
        <w:tc>
          <w:tcPr>
            <w:tcW w:w="2484" w:type="dxa"/>
            <w:vAlign w:val="center"/>
          </w:tcPr>
          <w:p w14:paraId="1EDE6CA0" w14:textId="77777777" w:rsidR="00D65FD8" w:rsidRDefault="00000000">
            <w:pPr>
              <w:spacing w:after="0"/>
            </w:pPr>
            <w:r>
              <w:rPr>
                <w:sz w:val="18"/>
              </w:rPr>
              <w:t>-7.97</w:t>
            </w:r>
          </w:p>
        </w:tc>
        <w:tc>
          <w:tcPr>
            <w:tcW w:w="2484" w:type="dxa"/>
            <w:vAlign w:val="center"/>
          </w:tcPr>
          <w:p w14:paraId="55F9F045" w14:textId="77777777" w:rsidR="00D65FD8" w:rsidRDefault="00000000">
            <w:pPr>
              <w:spacing w:after="0"/>
            </w:pPr>
            <w:r>
              <w:rPr>
                <w:sz w:val="18"/>
              </w:rPr>
              <w:t>Insolvent</w:t>
            </w:r>
          </w:p>
        </w:tc>
      </w:tr>
      <w:tr w:rsidR="00D65FD8" w14:paraId="731FD053" w14:textId="77777777">
        <w:trPr>
          <w:jc w:val="center"/>
        </w:trPr>
        <w:tc>
          <w:tcPr>
            <w:tcW w:w="2484" w:type="dxa"/>
            <w:vAlign w:val="center"/>
          </w:tcPr>
          <w:p w14:paraId="7AE4790E" w14:textId="77777777" w:rsidR="00D65FD8" w:rsidRDefault="00000000">
            <w:pPr>
              <w:spacing w:after="0"/>
            </w:pPr>
            <w:r>
              <w:rPr>
                <w:sz w:val="18"/>
              </w:rPr>
              <w:t>Mutual fund</w:t>
            </w:r>
          </w:p>
        </w:tc>
        <w:tc>
          <w:tcPr>
            <w:tcW w:w="2484" w:type="dxa"/>
            <w:vAlign w:val="center"/>
          </w:tcPr>
          <w:p w14:paraId="2A04FDCE" w14:textId="77777777" w:rsidR="00D65FD8" w:rsidRDefault="00000000">
            <w:pPr>
              <w:spacing w:after="0"/>
            </w:pPr>
            <w:r>
              <w:rPr>
                <w:sz w:val="18"/>
              </w:rPr>
              <w:t>-15.00</w:t>
            </w:r>
          </w:p>
        </w:tc>
        <w:tc>
          <w:tcPr>
            <w:tcW w:w="2484" w:type="dxa"/>
            <w:vAlign w:val="center"/>
          </w:tcPr>
          <w:p w14:paraId="1C899B15" w14:textId="77777777" w:rsidR="00D65FD8" w:rsidRDefault="00000000">
            <w:pPr>
              <w:spacing w:after="0"/>
            </w:pPr>
            <w:r>
              <w:rPr>
                <w:sz w:val="18"/>
              </w:rPr>
              <w:t>-16.89</w:t>
            </w:r>
          </w:p>
        </w:tc>
        <w:tc>
          <w:tcPr>
            <w:tcW w:w="2484" w:type="dxa"/>
            <w:vAlign w:val="center"/>
          </w:tcPr>
          <w:p w14:paraId="660F46E6" w14:textId="77777777" w:rsidR="00D65FD8" w:rsidRDefault="00000000">
            <w:pPr>
              <w:spacing w:after="0"/>
            </w:pPr>
            <w:r>
              <w:rPr>
                <w:sz w:val="18"/>
              </w:rPr>
              <w:t>Insolvent</w:t>
            </w:r>
          </w:p>
        </w:tc>
      </w:tr>
      <w:tr w:rsidR="00D65FD8" w14:paraId="683B625D" w14:textId="77777777">
        <w:trPr>
          <w:jc w:val="center"/>
        </w:trPr>
        <w:tc>
          <w:tcPr>
            <w:tcW w:w="2484" w:type="dxa"/>
            <w:vAlign w:val="center"/>
          </w:tcPr>
          <w:p w14:paraId="2687FA23" w14:textId="77777777" w:rsidR="00D65FD8" w:rsidRDefault="00000000">
            <w:pPr>
              <w:spacing w:after="0"/>
            </w:pPr>
            <w:r>
              <w:rPr>
                <w:sz w:val="18"/>
              </w:rPr>
              <w:t>Firm</w:t>
            </w:r>
          </w:p>
        </w:tc>
        <w:tc>
          <w:tcPr>
            <w:tcW w:w="2484" w:type="dxa"/>
            <w:vAlign w:val="center"/>
          </w:tcPr>
          <w:p w14:paraId="4993DF77" w14:textId="77777777" w:rsidR="00D65FD8" w:rsidRDefault="00000000">
            <w:pPr>
              <w:spacing w:after="0"/>
            </w:pPr>
            <w:r>
              <w:rPr>
                <w:sz w:val="18"/>
              </w:rPr>
              <w:t>0.00</w:t>
            </w:r>
          </w:p>
        </w:tc>
        <w:tc>
          <w:tcPr>
            <w:tcW w:w="2484" w:type="dxa"/>
            <w:vAlign w:val="center"/>
          </w:tcPr>
          <w:p w14:paraId="48F0AE66" w14:textId="77777777" w:rsidR="00D65FD8" w:rsidRDefault="00000000">
            <w:pPr>
              <w:spacing w:after="0"/>
            </w:pPr>
            <w:r>
              <w:rPr>
                <w:sz w:val="18"/>
              </w:rPr>
              <w:t>-0.52</w:t>
            </w:r>
          </w:p>
        </w:tc>
        <w:tc>
          <w:tcPr>
            <w:tcW w:w="2484" w:type="dxa"/>
            <w:vAlign w:val="center"/>
          </w:tcPr>
          <w:p w14:paraId="545F548C" w14:textId="77777777" w:rsidR="00D65FD8" w:rsidRDefault="00000000">
            <w:pPr>
              <w:spacing w:after="0"/>
            </w:pPr>
            <w:r>
              <w:rPr>
                <w:sz w:val="18"/>
              </w:rPr>
              <w:t>-0.52</w:t>
            </w:r>
          </w:p>
        </w:tc>
      </w:tr>
      <w:tr w:rsidR="00D65FD8" w14:paraId="29A23DA7" w14:textId="77777777">
        <w:trPr>
          <w:jc w:val="center"/>
        </w:trPr>
        <w:tc>
          <w:tcPr>
            <w:tcW w:w="2484" w:type="dxa"/>
            <w:vAlign w:val="center"/>
          </w:tcPr>
          <w:p w14:paraId="49396C04" w14:textId="77777777" w:rsidR="00D65FD8" w:rsidRDefault="00000000">
            <w:pPr>
              <w:spacing w:after="0"/>
            </w:pPr>
            <w:r>
              <w:rPr>
                <w:sz w:val="18"/>
              </w:rPr>
              <w:t>Household</w:t>
            </w:r>
          </w:p>
        </w:tc>
        <w:tc>
          <w:tcPr>
            <w:tcW w:w="2484" w:type="dxa"/>
            <w:vAlign w:val="center"/>
          </w:tcPr>
          <w:p w14:paraId="3AF1B450" w14:textId="77777777" w:rsidR="00D65FD8" w:rsidRDefault="00000000">
            <w:pPr>
              <w:spacing w:after="0"/>
            </w:pPr>
            <w:r>
              <w:rPr>
                <w:sz w:val="18"/>
              </w:rPr>
              <w:t>69.00</w:t>
            </w:r>
          </w:p>
        </w:tc>
        <w:tc>
          <w:tcPr>
            <w:tcW w:w="2484" w:type="dxa"/>
            <w:vAlign w:val="center"/>
          </w:tcPr>
          <w:p w14:paraId="659F3940" w14:textId="77777777" w:rsidR="00D65FD8" w:rsidRDefault="00000000">
            <w:pPr>
              <w:spacing w:after="0"/>
            </w:pPr>
            <w:r>
              <w:rPr>
                <w:sz w:val="18"/>
              </w:rPr>
              <w:t>67.11</w:t>
            </w:r>
          </w:p>
        </w:tc>
        <w:tc>
          <w:tcPr>
            <w:tcW w:w="2484" w:type="dxa"/>
            <w:vAlign w:val="center"/>
          </w:tcPr>
          <w:p w14:paraId="28644470" w14:textId="77777777" w:rsidR="00D65FD8" w:rsidRDefault="00000000">
            <w:pPr>
              <w:spacing w:after="0"/>
            </w:pPr>
            <w:r>
              <w:rPr>
                <w:sz w:val="18"/>
              </w:rPr>
              <w:t>-2.89</w:t>
            </w:r>
          </w:p>
        </w:tc>
      </w:tr>
    </w:tbl>
    <w:tbl>
      <w:tblPr>
        <w:tblW w:w="0" w:type="auto"/>
        <w:jc w:val="center"/>
        <w:tblLook w:val="04A0" w:firstRow="1" w:lastRow="0" w:firstColumn="1" w:lastColumn="0" w:noHBand="0" w:noVBand="1"/>
      </w:tblPr>
      <w:tblGrid>
        <w:gridCol w:w="9936"/>
      </w:tblGrid>
      <w:tr w:rsidR="00D65FD8" w14:paraId="0E93D42C" w14:textId="77777777">
        <w:trPr>
          <w:jc w:val="center"/>
        </w:trPr>
        <w:tc>
          <w:tcPr>
            <w:tcW w:w="9936" w:type="dxa"/>
            <w:shd w:val="clear" w:color="auto" w:fill="EAF2F7"/>
          </w:tcPr>
          <w:p w14:paraId="5023F5A6" w14:textId="77777777" w:rsidR="00D65FD8" w:rsidRDefault="00000000">
            <w:pPr>
              <w:pStyle w:val="Callout"/>
              <w:rPr>
                <w:rFonts w:hint="eastAsia"/>
              </w:rPr>
            </w:pPr>
            <w:r>
              <w:t>Transmission path: Mutual Fund → NBFC → Bank A → Firm → Household</w:t>
            </w:r>
          </w:p>
        </w:tc>
      </w:tr>
    </w:tbl>
    <w:p w14:paraId="583F60EB" w14:textId="77777777" w:rsidR="00D65FD8" w:rsidRDefault="00D65FD8"/>
    <w:p w14:paraId="1275F569" w14:textId="77777777" w:rsidR="00D65FD8" w:rsidRDefault="00000000">
      <w:r>
        <w:t>The commercial-paper freeze operates through a liquidity-withdrawal channel. The NBFC loses a critical source of short-term funding and collapses. Mutual-fund losses trigger redemptions. To meet them, the fund withdraws liquidity from banks. Banks then reduce lending, worsening conditions for the NBFC and the firm. The original shock becomes a self-reinforcing loop.</w:t>
      </w:r>
    </w:p>
    <w:p w14:paraId="52546F0C" w14:textId="77777777" w:rsidR="00D65FD8" w:rsidRDefault="00000000">
      <w:pPr>
        <w:pStyle w:val="Heading1"/>
      </w:pPr>
      <w:r>
        <w:lastRenderedPageBreak/>
        <w:t>5. Shock Three: a two-notch credit-rating downgrade</w:t>
      </w:r>
    </w:p>
    <w:p w14:paraId="0C34F827" w14:textId="77777777" w:rsidR="00D65FD8" w:rsidRDefault="00000000">
      <w:r>
        <w:t>The third experiment begins more quietly. The downgrade reduces the value of loans and corporate bonds, but it does not trigger the immediate funding run seen in the commercial-paper freeze.</w:t>
      </w:r>
    </w:p>
    <w:tbl>
      <w:tblPr>
        <w:tblStyle w:val="TableGrid"/>
        <w:tblW w:w="0" w:type="auto"/>
        <w:jc w:val="center"/>
        <w:tblLook w:val="04A0" w:firstRow="1" w:lastRow="0" w:firstColumn="1" w:lastColumn="0" w:noHBand="0" w:noVBand="1"/>
      </w:tblPr>
      <w:tblGrid>
        <w:gridCol w:w="2484"/>
        <w:gridCol w:w="2484"/>
        <w:gridCol w:w="2484"/>
        <w:gridCol w:w="2484"/>
      </w:tblGrid>
      <w:tr w:rsidR="00D65FD8" w14:paraId="6F803445" w14:textId="77777777">
        <w:trPr>
          <w:jc w:val="center"/>
        </w:trPr>
        <w:tc>
          <w:tcPr>
            <w:tcW w:w="2484" w:type="dxa"/>
            <w:shd w:val="clear" w:color="auto" w:fill="6B5B45"/>
            <w:vAlign w:val="center"/>
          </w:tcPr>
          <w:p w14:paraId="6720AD02" w14:textId="77777777" w:rsidR="00D65FD8" w:rsidRDefault="00000000">
            <w:pPr>
              <w:spacing w:after="0"/>
            </w:pPr>
            <w:r>
              <w:rPr>
                <w:b/>
                <w:color w:val="FFFFFF"/>
                <w:sz w:val="18"/>
              </w:rPr>
              <w:t>Entity</w:t>
            </w:r>
          </w:p>
        </w:tc>
        <w:tc>
          <w:tcPr>
            <w:tcW w:w="2484" w:type="dxa"/>
            <w:shd w:val="clear" w:color="auto" w:fill="6B5B45"/>
            <w:vAlign w:val="center"/>
          </w:tcPr>
          <w:p w14:paraId="6B9A1272" w14:textId="77777777" w:rsidR="00D65FD8" w:rsidRDefault="00000000">
            <w:pPr>
              <w:spacing w:after="0"/>
            </w:pPr>
            <w:r>
              <w:rPr>
                <w:b/>
                <w:color w:val="FFFFFF"/>
                <w:sz w:val="18"/>
              </w:rPr>
              <w:t>Starting equity</w:t>
            </w:r>
          </w:p>
        </w:tc>
        <w:tc>
          <w:tcPr>
            <w:tcW w:w="2484" w:type="dxa"/>
            <w:shd w:val="clear" w:color="auto" w:fill="6B5B45"/>
            <w:vAlign w:val="center"/>
          </w:tcPr>
          <w:p w14:paraId="10C28EC3" w14:textId="77777777" w:rsidR="00D65FD8" w:rsidRDefault="00000000">
            <w:pPr>
              <w:spacing w:after="0"/>
            </w:pPr>
            <w:r>
              <w:rPr>
                <w:b/>
                <w:color w:val="FFFFFF"/>
                <w:sz w:val="18"/>
              </w:rPr>
              <w:t>Round 0 equity</w:t>
            </w:r>
          </w:p>
        </w:tc>
        <w:tc>
          <w:tcPr>
            <w:tcW w:w="2484" w:type="dxa"/>
            <w:shd w:val="clear" w:color="auto" w:fill="6B5B45"/>
            <w:vAlign w:val="center"/>
          </w:tcPr>
          <w:p w14:paraId="12EB7F52" w14:textId="77777777" w:rsidR="00D65FD8" w:rsidRDefault="00000000">
            <w:pPr>
              <w:spacing w:after="0"/>
            </w:pPr>
            <w:r>
              <w:rPr>
                <w:b/>
                <w:color w:val="FFFFFF"/>
                <w:sz w:val="18"/>
              </w:rPr>
              <w:t>Initial loss</w:t>
            </w:r>
          </w:p>
        </w:tc>
      </w:tr>
      <w:tr w:rsidR="00D65FD8" w14:paraId="66D7DC2E" w14:textId="77777777">
        <w:trPr>
          <w:jc w:val="center"/>
        </w:trPr>
        <w:tc>
          <w:tcPr>
            <w:tcW w:w="2484" w:type="dxa"/>
            <w:vAlign w:val="center"/>
          </w:tcPr>
          <w:p w14:paraId="24621FD9" w14:textId="77777777" w:rsidR="00D65FD8" w:rsidRDefault="00000000">
            <w:pPr>
              <w:spacing w:after="0"/>
            </w:pPr>
            <w:r>
              <w:rPr>
                <w:sz w:val="18"/>
              </w:rPr>
              <w:t>Bank A</w:t>
            </w:r>
          </w:p>
        </w:tc>
        <w:tc>
          <w:tcPr>
            <w:tcW w:w="2484" w:type="dxa"/>
            <w:vAlign w:val="center"/>
          </w:tcPr>
          <w:p w14:paraId="636C8725" w14:textId="77777777" w:rsidR="00D65FD8" w:rsidRDefault="00000000">
            <w:pPr>
              <w:spacing w:after="0"/>
            </w:pPr>
            <w:r>
              <w:rPr>
                <w:sz w:val="18"/>
              </w:rPr>
              <w:t>10.00</w:t>
            </w:r>
          </w:p>
        </w:tc>
        <w:tc>
          <w:tcPr>
            <w:tcW w:w="2484" w:type="dxa"/>
            <w:vAlign w:val="center"/>
          </w:tcPr>
          <w:p w14:paraId="558982F0" w14:textId="77777777" w:rsidR="00D65FD8" w:rsidRDefault="00000000">
            <w:pPr>
              <w:spacing w:after="0"/>
            </w:pPr>
            <w:r>
              <w:rPr>
                <w:sz w:val="18"/>
              </w:rPr>
              <w:t>8.00</w:t>
            </w:r>
          </w:p>
        </w:tc>
        <w:tc>
          <w:tcPr>
            <w:tcW w:w="2484" w:type="dxa"/>
            <w:vAlign w:val="center"/>
          </w:tcPr>
          <w:p w14:paraId="17710BA1" w14:textId="77777777" w:rsidR="00D65FD8" w:rsidRDefault="00000000">
            <w:pPr>
              <w:spacing w:after="0"/>
            </w:pPr>
            <w:r>
              <w:rPr>
                <w:sz w:val="18"/>
              </w:rPr>
              <w:t>-2.00</w:t>
            </w:r>
          </w:p>
        </w:tc>
      </w:tr>
      <w:tr w:rsidR="00D65FD8" w14:paraId="798E4576" w14:textId="77777777">
        <w:trPr>
          <w:jc w:val="center"/>
        </w:trPr>
        <w:tc>
          <w:tcPr>
            <w:tcW w:w="2484" w:type="dxa"/>
            <w:vAlign w:val="center"/>
          </w:tcPr>
          <w:p w14:paraId="0226AF80" w14:textId="77777777" w:rsidR="00D65FD8" w:rsidRDefault="00000000">
            <w:pPr>
              <w:spacing w:after="0"/>
            </w:pPr>
            <w:r>
              <w:rPr>
                <w:sz w:val="18"/>
              </w:rPr>
              <w:t>Bank B</w:t>
            </w:r>
          </w:p>
        </w:tc>
        <w:tc>
          <w:tcPr>
            <w:tcW w:w="2484" w:type="dxa"/>
            <w:vAlign w:val="center"/>
          </w:tcPr>
          <w:p w14:paraId="21276C5C" w14:textId="77777777" w:rsidR="00D65FD8" w:rsidRDefault="00000000">
            <w:pPr>
              <w:spacing w:after="0"/>
            </w:pPr>
            <w:r>
              <w:rPr>
                <w:sz w:val="18"/>
              </w:rPr>
              <w:t>20.00</w:t>
            </w:r>
          </w:p>
        </w:tc>
        <w:tc>
          <w:tcPr>
            <w:tcW w:w="2484" w:type="dxa"/>
            <w:vAlign w:val="center"/>
          </w:tcPr>
          <w:p w14:paraId="0074DB5F" w14:textId="77777777" w:rsidR="00D65FD8" w:rsidRDefault="00000000">
            <w:pPr>
              <w:spacing w:after="0"/>
            </w:pPr>
            <w:r>
              <w:rPr>
                <w:sz w:val="18"/>
              </w:rPr>
              <w:t>18.00</w:t>
            </w:r>
          </w:p>
        </w:tc>
        <w:tc>
          <w:tcPr>
            <w:tcW w:w="2484" w:type="dxa"/>
            <w:vAlign w:val="center"/>
          </w:tcPr>
          <w:p w14:paraId="1E107CBE" w14:textId="77777777" w:rsidR="00D65FD8" w:rsidRDefault="00000000">
            <w:pPr>
              <w:spacing w:after="0"/>
            </w:pPr>
            <w:r>
              <w:rPr>
                <w:sz w:val="18"/>
              </w:rPr>
              <w:t>-2.00</w:t>
            </w:r>
          </w:p>
        </w:tc>
      </w:tr>
      <w:tr w:rsidR="00D65FD8" w14:paraId="6A08D581" w14:textId="77777777">
        <w:trPr>
          <w:jc w:val="center"/>
        </w:trPr>
        <w:tc>
          <w:tcPr>
            <w:tcW w:w="2484" w:type="dxa"/>
            <w:vAlign w:val="center"/>
          </w:tcPr>
          <w:p w14:paraId="620BAD4C" w14:textId="77777777" w:rsidR="00D65FD8" w:rsidRDefault="00000000">
            <w:pPr>
              <w:spacing w:after="0"/>
            </w:pPr>
            <w:r>
              <w:rPr>
                <w:sz w:val="18"/>
              </w:rPr>
              <w:t>NBFC</w:t>
            </w:r>
          </w:p>
        </w:tc>
        <w:tc>
          <w:tcPr>
            <w:tcW w:w="2484" w:type="dxa"/>
            <w:vAlign w:val="center"/>
          </w:tcPr>
          <w:p w14:paraId="750434B7" w14:textId="77777777" w:rsidR="00D65FD8" w:rsidRDefault="00000000">
            <w:pPr>
              <w:spacing w:after="0"/>
            </w:pPr>
            <w:r>
              <w:rPr>
                <w:sz w:val="18"/>
              </w:rPr>
              <w:t>10.00</w:t>
            </w:r>
          </w:p>
        </w:tc>
        <w:tc>
          <w:tcPr>
            <w:tcW w:w="2484" w:type="dxa"/>
            <w:vAlign w:val="center"/>
          </w:tcPr>
          <w:p w14:paraId="3D675734" w14:textId="77777777" w:rsidR="00D65FD8" w:rsidRDefault="00000000">
            <w:pPr>
              <w:spacing w:after="0"/>
            </w:pPr>
            <w:r>
              <w:rPr>
                <w:sz w:val="18"/>
              </w:rPr>
              <w:t>4.00</w:t>
            </w:r>
          </w:p>
        </w:tc>
        <w:tc>
          <w:tcPr>
            <w:tcW w:w="2484" w:type="dxa"/>
            <w:vAlign w:val="center"/>
          </w:tcPr>
          <w:p w14:paraId="40893025" w14:textId="77777777" w:rsidR="00D65FD8" w:rsidRDefault="00000000">
            <w:pPr>
              <w:spacing w:after="0"/>
            </w:pPr>
            <w:r>
              <w:rPr>
                <w:sz w:val="18"/>
              </w:rPr>
              <w:t>-6.00</w:t>
            </w:r>
          </w:p>
        </w:tc>
      </w:tr>
      <w:tr w:rsidR="00D65FD8" w14:paraId="1C4FF141" w14:textId="77777777">
        <w:trPr>
          <w:jc w:val="center"/>
        </w:trPr>
        <w:tc>
          <w:tcPr>
            <w:tcW w:w="2484" w:type="dxa"/>
            <w:vAlign w:val="center"/>
          </w:tcPr>
          <w:p w14:paraId="6FF39C70" w14:textId="77777777" w:rsidR="00D65FD8" w:rsidRDefault="00000000">
            <w:pPr>
              <w:spacing w:after="0"/>
            </w:pPr>
            <w:r>
              <w:rPr>
                <w:sz w:val="18"/>
              </w:rPr>
              <w:t>Household</w:t>
            </w:r>
          </w:p>
        </w:tc>
        <w:tc>
          <w:tcPr>
            <w:tcW w:w="2484" w:type="dxa"/>
            <w:vAlign w:val="center"/>
          </w:tcPr>
          <w:p w14:paraId="6FC56813" w14:textId="77777777" w:rsidR="00D65FD8" w:rsidRDefault="00000000">
            <w:pPr>
              <w:spacing w:after="0"/>
            </w:pPr>
            <w:r>
              <w:rPr>
                <w:sz w:val="18"/>
              </w:rPr>
              <w:t>70.00</w:t>
            </w:r>
          </w:p>
        </w:tc>
        <w:tc>
          <w:tcPr>
            <w:tcW w:w="2484" w:type="dxa"/>
            <w:vAlign w:val="center"/>
          </w:tcPr>
          <w:p w14:paraId="0336969E" w14:textId="77777777" w:rsidR="00D65FD8" w:rsidRDefault="00000000">
            <w:pPr>
              <w:spacing w:after="0"/>
            </w:pPr>
            <w:r>
              <w:rPr>
                <w:sz w:val="18"/>
              </w:rPr>
              <w:t>64.76</w:t>
            </w:r>
          </w:p>
        </w:tc>
        <w:tc>
          <w:tcPr>
            <w:tcW w:w="2484" w:type="dxa"/>
            <w:vAlign w:val="center"/>
          </w:tcPr>
          <w:p w14:paraId="603CECA9" w14:textId="77777777" w:rsidR="00D65FD8" w:rsidRDefault="00000000">
            <w:pPr>
              <w:spacing w:after="0"/>
            </w:pPr>
            <w:r>
              <w:rPr>
                <w:sz w:val="18"/>
              </w:rPr>
              <w:t>-5.24</w:t>
            </w:r>
          </w:p>
        </w:tc>
      </w:tr>
    </w:tbl>
    <w:p w14:paraId="41E71DA2" w14:textId="77777777" w:rsidR="00D65FD8" w:rsidRDefault="00000000">
      <w:r>
        <w:t>Other entities are largely unaffected in the first round. Yet Bank A keeps deteriorating after the initial shock:</w:t>
      </w:r>
    </w:p>
    <w:tbl>
      <w:tblPr>
        <w:tblStyle w:val="TableGrid"/>
        <w:tblW w:w="0" w:type="auto"/>
        <w:jc w:val="center"/>
        <w:tblLook w:val="04A0" w:firstRow="1" w:lastRow="0" w:firstColumn="1" w:lastColumn="0" w:noHBand="0" w:noVBand="1"/>
      </w:tblPr>
      <w:tblGrid>
        <w:gridCol w:w="4968"/>
        <w:gridCol w:w="4968"/>
      </w:tblGrid>
      <w:tr w:rsidR="00D65FD8" w14:paraId="03A70F6B" w14:textId="77777777">
        <w:trPr>
          <w:jc w:val="center"/>
        </w:trPr>
        <w:tc>
          <w:tcPr>
            <w:tcW w:w="4968" w:type="dxa"/>
            <w:shd w:val="clear" w:color="auto" w:fill="2F5D7C"/>
            <w:vAlign w:val="center"/>
          </w:tcPr>
          <w:p w14:paraId="5A68B394" w14:textId="77777777" w:rsidR="00D65FD8" w:rsidRDefault="00000000">
            <w:pPr>
              <w:spacing w:after="0"/>
            </w:pPr>
            <w:r>
              <w:rPr>
                <w:b/>
                <w:color w:val="FFFFFF"/>
                <w:sz w:val="18"/>
              </w:rPr>
              <w:t>Iteration</w:t>
            </w:r>
          </w:p>
        </w:tc>
        <w:tc>
          <w:tcPr>
            <w:tcW w:w="4968" w:type="dxa"/>
            <w:shd w:val="clear" w:color="auto" w:fill="2F5D7C"/>
            <w:vAlign w:val="center"/>
          </w:tcPr>
          <w:p w14:paraId="7DBE2BE6" w14:textId="77777777" w:rsidR="00D65FD8" w:rsidRDefault="00000000">
            <w:pPr>
              <w:spacing w:after="0"/>
            </w:pPr>
            <w:r>
              <w:rPr>
                <w:b/>
                <w:color w:val="FFFFFF"/>
                <w:sz w:val="18"/>
              </w:rPr>
              <w:t>Bank A equity</w:t>
            </w:r>
          </w:p>
        </w:tc>
      </w:tr>
      <w:tr w:rsidR="00D65FD8" w14:paraId="772DF368" w14:textId="77777777">
        <w:trPr>
          <w:jc w:val="center"/>
        </w:trPr>
        <w:tc>
          <w:tcPr>
            <w:tcW w:w="4968" w:type="dxa"/>
            <w:vAlign w:val="center"/>
          </w:tcPr>
          <w:p w14:paraId="3B072EE6" w14:textId="77777777" w:rsidR="00D65FD8" w:rsidRDefault="00000000">
            <w:pPr>
              <w:spacing w:after="0"/>
            </w:pPr>
            <w:r>
              <w:rPr>
                <w:sz w:val="18"/>
              </w:rPr>
              <w:t>Round 0</w:t>
            </w:r>
          </w:p>
        </w:tc>
        <w:tc>
          <w:tcPr>
            <w:tcW w:w="4968" w:type="dxa"/>
            <w:vAlign w:val="center"/>
          </w:tcPr>
          <w:p w14:paraId="1D9EFBC8" w14:textId="77777777" w:rsidR="00D65FD8" w:rsidRDefault="00000000">
            <w:pPr>
              <w:spacing w:after="0"/>
            </w:pPr>
            <w:r>
              <w:rPr>
                <w:sz w:val="18"/>
              </w:rPr>
              <w:t>8.00</w:t>
            </w:r>
          </w:p>
        </w:tc>
      </w:tr>
      <w:tr w:rsidR="00D65FD8" w14:paraId="5EE654B3" w14:textId="77777777">
        <w:trPr>
          <w:jc w:val="center"/>
        </w:trPr>
        <w:tc>
          <w:tcPr>
            <w:tcW w:w="4968" w:type="dxa"/>
            <w:vAlign w:val="center"/>
          </w:tcPr>
          <w:p w14:paraId="38DFCF1F" w14:textId="77777777" w:rsidR="00D65FD8" w:rsidRDefault="00000000">
            <w:pPr>
              <w:spacing w:after="0"/>
            </w:pPr>
            <w:r>
              <w:rPr>
                <w:sz w:val="18"/>
              </w:rPr>
              <w:t>Round 1</w:t>
            </w:r>
          </w:p>
        </w:tc>
        <w:tc>
          <w:tcPr>
            <w:tcW w:w="4968" w:type="dxa"/>
            <w:vAlign w:val="center"/>
          </w:tcPr>
          <w:p w14:paraId="7D19B94A" w14:textId="77777777" w:rsidR="00D65FD8" w:rsidRDefault="00000000">
            <w:pPr>
              <w:spacing w:after="0"/>
            </w:pPr>
            <w:r>
              <w:rPr>
                <w:sz w:val="18"/>
              </w:rPr>
              <w:t>5.89</w:t>
            </w:r>
          </w:p>
        </w:tc>
      </w:tr>
      <w:tr w:rsidR="00D65FD8" w14:paraId="3214C321" w14:textId="77777777">
        <w:trPr>
          <w:jc w:val="center"/>
        </w:trPr>
        <w:tc>
          <w:tcPr>
            <w:tcW w:w="4968" w:type="dxa"/>
            <w:vAlign w:val="center"/>
          </w:tcPr>
          <w:p w14:paraId="454C4AF1" w14:textId="77777777" w:rsidR="00D65FD8" w:rsidRDefault="00000000">
            <w:pPr>
              <w:spacing w:after="0"/>
            </w:pPr>
            <w:r>
              <w:rPr>
                <w:sz w:val="18"/>
              </w:rPr>
              <w:t>Round 2</w:t>
            </w:r>
          </w:p>
        </w:tc>
        <w:tc>
          <w:tcPr>
            <w:tcW w:w="4968" w:type="dxa"/>
            <w:vAlign w:val="center"/>
          </w:tcPr>
          <w:p w14:paraId="1AE3D951" w14:textId="77777777" w:rsidR="00D65FD8" w:rsidRDefault="00000000">
            <w:pPr>
              <w:spacing w:after="0"/>
            </w:pPr>
            <w:r>
              <w:rPr>
                <w:sz w:val="18"/>
              </w:rPr>
              <w:t>4.02</w:t>
            </w:r>
          </w:p>
        </w:tc>
      </w:tr>
      <w:tr w:rsidR="00D65FD8" w14:paraId="78AF2DF7" w14:textId="77777777">
        <w:trPr>
          <w:jc w:val="center"/>
        </w:trPr>
        <w:tc>
          <w:tcPr>
            <w:tcW w:w="4968" w:type="dxa"/>
            <w:vAlign w:val="center"/>
          </w:tcPr>
          <w:p w14:paraId="618EA67F" w14:textId="77777777" w:rsidR="00D65FD8" w:rsidRDefault="00000000">
            <w:pPr>
              <w:spacing w:after="0"/>
            </w:pPr>
            <w:r>
              <w:rPr>
                <w:sz w:val="18"/>
              </w:rPr>
              <w:t>Round 3</w:t>
            </w:r>
          </w:p>
        </w:tc>
        <w:tc>
          <w:tcPr>
            <w:tcW w:w="4968" w:type="dxa"/>
            <w:vAlign w:val="center"/>
          </w:tcPr>
          <w:p w14:paraId="38964A5A" w14:textId="77777777" w:rsidR="00D65FD8" w:rsidRDefault="00000000">
            <w:pPr>
              <w:spacing w:after="0"/>
            </w:pPr>
            <w:r>
              <w:rPr>
                <w:sz w:val="18"/>
              </w:rPr>
              <w:t>2.22</w:t>
            </w:r>
          </w:p>
        </w:tc>
      </w:tr>
      <w:tr w:rsidR="00D65FD8" w14:paraId="49AA11A2" w14:textId="77777777">
        <w:trPr>
          <w:jc w:val="center"/>
        </w:trPr>
        <w:tc>
          <w:tcPr>
            <w:tcW w:w="4968" w:type="dxa"/>
            <w:vAlign w:val="center"/>
          </w:tcPr>
          <w:p w14:paraId="738363AC" w14:textId="77777777" w:rsidR="00D65FD8" w:rsidRDefault="00000000">
            <w:pPr>
              <w:spacing w:after="0"/>
            </w:pPr>
            <w:r>
              <w:rPr>
                <w:sz w:val="18"/>
              </w:rPr>
              <w:t>Round 4</w:t>
            </w:r>
          </w:p>
        </w:tc>
        <w:tc>
          <w:tcPr>
            <w:tcW w:w="4968" w:type="dxa"/>
            <w:vAlign w:val="center"/>
          </w:tcPr>
          <w:p w14:paraId="1293C2EF" w14:textId="77777777" w:rsidR="00D65FD8" w:rsidRDefault="00000000">
            <w:pPr>
              <w:spacing w:after="0"/>
            </w:pPr>
            <w:r>
              <w:rPr>
                <w:sz w:val="18"/>
              </w:rPr>
              <w:t>0.36</w:t>
            </w:r>
          </w:p>
        </w:tc>
      </w:tr>
      <w:tr w:rsidR="00D65FD8" w14:paraId="1D8B2F6C" w14:textId="77777777">
        <w:trPr>
          <w:jc w:val="center"/>
        </w:trPr>
        <w:tc>
          <w:tcPr>
            <w:tcW w:w="4968" w:type="dxa"/>
            <w:vAlign w:val="center"/>
          </w:tcPr>
          <w:p w14:paraId="1C734048" w14:textId="77777777" w:rsidR="00D65FD8" w:rsidRDefault="00000000">
            <w:pPr>
              <w:spacing w:after="0"/>
            </w:pPr>
            <w:r>
              <w:rPr>
                <w:sz w:val="18"/>
              </w:rPr>
              <w:t>Round 5</w:t>
            </w:r>
          </w:p>
        </w:tc>
        <w:tc>
          <w:tcPr>
            <w:tcW w:w="4968" w:type="dxa"/>
            <w:vAlign w:val="center"/>
          </w:tcPr>
          <w:p w14:paraId="0C75C820" w14:textId="77777777" w:rsidR="00D65FD8" w:rsidRDefault="00000000">
            <w:pPr>
              <w:spacing w:after="0"/>
            </w:pPr>
            <w:r>
              <w:rPr>
                <w:sz w:val="18"/>
              </w:rPr>
              <w:t>-1.54</w:t>
            </w:r>
          </w:p>
        </w:tc>
      </w:tr>
      <w:tr w:rsidR="00D65FD8" w14:paraId="00F6159F" w14:textId="77777777">
        <w:trPr>
          <w:jc w:val="center"/>
        </w:trPr>
        <w:tc>
          <w:tcPr>
            <w:tcW w:w="4968" w:type="dxa"/>
            <w:vAlign w:val="center"/>
          </w:tcPr>
          <w:p w14:paraId="7FA6F3C2" w14:textId="77777777" w:rsidR="00D65FD8" w:rsidRDefault="00000000">
            <w:pPr>
              <w:spacing w:after="0"/>
            </w:pPr>
            <w:r>
              <w:rPr>
                <w:sz w:val="18"/>
              </w:rPr>
              <w:t>Round 6</w:t>
            </w:r>
          </w:p>
        </w:tc>
        <w:tc>
          <w:tcPr>
            <w:tcW w:w="4968" w:type="dxa"/>
            <w:vAlign w:val="center"/>
          </w:tcPr>
          <w:p w14:paraId="42E25C27" w14:textId="77777777" w:rsidR="00D65FD8" w:rsidRDefault="00000000">
            <w:pPr>
              <w:spacing w:after="0"/>
            </w:pPr>
            <w:r>
              <w:rPr>
                <w:sz w:val="18"/>
              </w:rPr>
              <w:t>-3.51</w:t>
            </w:r>
          </w:p>
        </w:tc>
      </w:tr>
      <w:tr w:rsidR="00D65FD8" w14:paraId="04B0568C" w14:textId="77777777">
        <w:trPr>
          <w:jc w:val="center"/>
        </w:trPr>
        <w:tc>
          <w:tcPr>
            <w:tcW w:w="4968" w:type="dxa"/>
            <w:vAlign w:val="center"/>
          </w:tcPr>
          <w:p w14:paraId="7BA812E1" w14:textId="77777777" w:rsidR="00D65FD8" w:rsidRDefault="00000000">
            <w:pPr>
              <w:spacing w:after="0"/>
            </w:pPr>
            <w:r>
              <w:rPr>
                <w:sz w:val="18"/>
              </w:rPr>
              <w:t>Round 7</w:t>
            </w:r>
          </w:p>
        </w:tc>
        <w:tc>
          <w:tcPr>
            <w:tcW w:w="4968" w:type="dxa"/>
            <w:vAlign w:val="center"/>
          </w:tcPr>
          <w:p w14:paraId="79E942B0" w14:textId="77777777" w:rsidR="00D65FD8" w:rsidRDefault="00000000">
            <w:pPr>
              <w:spacing w:after="0"/>
            </w:pPr>
            <w:r>
              <w:rPr>
                <w:sz w:val="18"/>
              </w:rPr>
              <w:t>-5.57 (insolvent)</w:t>
            </w:r>
          </w:p>
        </w:tc>
      </w:tr>
    </w:tbl>
    <w:p w14:paraId="7BF4EF07" w14:textId="77777777" w:rsidR="00D65FD8" w:rsidRDefault="00000000">
      <w:r>
        <w:t>This deterioration is not driven by a sudden liquidity withdrawal. It is driven by a capital-erosion loop: loan-book deterioration leads to incremental provisioning; the bank tightens its balance sheet; credit supply contracts; firm conditions worsen; and asset quality deteriorates again.</w:t>
      </w:r>
    </w:p>
    <w:p w14:paraId="7E82EC41" w14:textId="77777777" w:rsidR="00D65FD8" w:rsidRDefault="00000000">
      <w:pPr>
        <w:jc w:val="center"/>
      </w:pPr>
      <w:r>
        <w:rPr>
          <w:noProof/>
        </w:rPr>
        <w:lastRenderedPageBreak/>
        <w:drawing>
          <wp:inline distT="0" distB="0" distL="0" distR="0" wp14:anchorId="2AA8E221" wp14:editId="2BF7D592">
            <wp:extent cx="4206240" cy="585281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pic:nvPicPr>
                  <pic:blipFill>
                    <a:blip r:embed="rId16"/>
                    <a:stretch>
                      <a:fillRect/>
                    </a:stretch>
                  </pic:blipFill>
                  <pic:spPr>
                    <a:xfrm>
                      <a:off x="0" y="0"/>
                      <a:ext cx="4206240" cy="5852811"/>
                    </a:xfrm>
                    <a:prstGeom prst="rect">
                      <a:avLst/>
                    </a:prstGeom>
                  </pic:spPr>
                </pic:pic>
              </a:graphicData>
            </a:graphic>
          </wp:inline>
        </w:drawing>
      </w:r>
    </w:p>
    <w:p w14:paraId="7FAE7E9C" w14:textId="77777777" w:rsidR="00D65FD8" w:rsidRDefault="00000000">
      <w:pPr>
        <w:pStyle w:val="Caption"/>
      </w:pPr>
      <w:r>
        <w:t>Credit downgrade: a slow loop of capital loss, lending contraction, firm stress and further loan deterioration.</w:t>
      </w:r>
    </w:p>
    <w:tbl>
      <w:tblPr>
        <w:tblW w:w="0" w:type="auto"/>
        <w:jc w:val="center"/>
        <w:tblLook w:val="04A0" w:firstRow="1" w:lastRow="0" w:firstColumn="1" w:lastColumn="0" w:noHBand="0" w:noVBand="1"/>
      </w:tblPr>
      <w:tblGrid>
        <w:gridCol w:w="9936"/>
      </w:tblGrid>
      <w:tr w:rsidR="00D65FD8" w14:paraId="6F4DD7EB" w14:textId="77777777">
        <w:trPr>
          <w:jc w:val="center"/>
        </w:trPr>
        <w:tc>
          <w:tcPr>
            <w:tcW w:w="9936" w:type="dxa"/>
            <w:shd w:val="clear" w:color="auto" w:fill="EAF2F7"/>
          </w:tcPr>
          <w:p w14:paraId="643C1065" w14:textId="77777777" w:rsidR="00D65FD8" w:rsidRDefault="00000000">
            <w:pPr>
              <w:pStyle w:val="Callout"/>
              <w:rPr>
                <w:rFonts w:hint="eastAsia"/>
              </w:rPr>
            </w:pPr>
            <w:r>
              <w:t>Bank A’s initial loss of 2.00 becomes a final loss of 15.57—an amplification of 678%—and insolvency arrives only after seven rounds.</w:t>
            </w:r>
          </w:p>
        </w:tc>
      </w:tr>
    </w:tbl>
    <w:p w14:paraId="18613B6C" w14:textId="77777777" w:rsidR="00D65FD8" w:rsidRDefault="00D65FD8"/>
    <w:p w14:paraId="65316B2F" w14:textId="77777777" w:rsidR="00D65FD8" w:rsidRDefault="00000000">
      <w:r>
        <w:t>The mutual fund remains stable, the NBFC stabilizes after its initial hit, and there is no major liquidity withdrawal. Contagion is therefore localized. But the absence of an immediate cascade should not be mistaken for safety: the bank moves from +8.00 after Round 0 to -5.57 after repeated balance-sheet adjustments.</w:t>
      </w:r>
    </w:p>
    <w:p w14:paraId="33E9D8D2" w14:textId="77777777" w:rsidR="00D65FD8" w:rsidRDefault="00000000">
      <w:pPr>
        <w:pStyle w:val="Heading1"/>
      </w:pPr>
      <w:r>
        <w:t>6. One system, three completely different crises</w:t>
      </w:r>
    </w:p>
    <w:tbl>
      <w:tblPr>
        <w:tblStyle w:val="TableGrid"/>
        <w:tblW w:w="0" w:type="auto"/>
        <w:jc w:val="center"/>
        <w:tblLook w:val="04A0" w:firstRow="1" w:lastRow="0" w:firstColumn="1" w:lastColumn="0" w:noHBand="0" w:noVBand="1"/>
      </w:tblPr>
      <w:tblGrid>
        <w:gridCol w:w="1987"/>
        <w:gridCol w:w="1987"/>
        <w:gridCol w:w="1987"/>
        <w:gridCol w:w="1987"/>
        <w:gridCol w:w="1987"/>
      </w:tblGrid>
      <w:tr w:rsidR="00D65FD8" w14:paraId="1104B532" w14:textId="77777777">
        <w:trPr>
          <w:jc w:val="center"/>
        </w:trPr>
        <w:tc>
          <w:tcPr>
            <w:tcW w:w="1987" w:type="dxa"/>
            <w:shd w:val="clear" w:color="auto" w:fill="17324D"/>
            <w:vAlign w:val="center"/>
          </w:tcPr>
          <w:p w14:paraId="2D2FB599" w14:textId="77777777" w:rsidR="00D65FD8" w:rsidRDefault="00000000">
            <w:pPr>
              <w:spacing w:after="0"/>
            </w:pPr>
            <w:r>
              <w:rPr>
                <w:b/>
                <w:color w:val="FFFFFF"/>
                <w:sz w:val="17"/>
              </w:rPr>
              <w:t>Shock</w:t>
            </w:r>
          </w:p>
        </w:tc>
        <w:tc>
          <w:tcPr>
            <w:tcW w:w="1987" w:type="dxa"/>
            <w:shd w:val="clear" w:color="auto" w:fill="17324D"/>
            <w:vAlign w:val="center"/>
          </w:tcPr>
          <w:p w14:paraId="1A568919" w14:textId="77777777" w:rsidR="00D65FD8" w:rsidRDefault="00000000">
            <w:pPr>
              <w:spacing w:after="0"/>
            </w:pPr>
            <w:r>
              <w:rPr>
                <w:b/>
                <w:color w:val="FFFFFF"/>
                <w:sz w:val="17"/>
              </w:rPr>
              <w:t>Amplification</w:t>
            </w:r>
          </w:p>
        </w:tc>
        <w:tc>
          <w:tcPr>
            <w:tcW w:w="1987" w:type="dxa"/>
            <w:shd w:val="clear" w:color="auto" w:fill="17324D"/>
            <w:vAlign w:val="center"/>
          </w:tcPr>
          <w:p w14:paraId="04D647BF" w14:textId="77777777" w:rsidR="00D65FD8" w:rsidRDefault="00000000">
            <w:pPr>
              <w:spacing w:after="0"/>
            </w:pPr>
            <w:r>
              <w:rPr>
                <w:b/>
                <w:color w:val="FFFFFF"/>
                <w:sz w:val="17"/>
              </w:rPr>
              <w:t>Insolvency</w:t>
            </w:r>
          </w:p>
        </w:tc>
        <w:tc>
          <w:tcPr>
            <w:tcW w:w="1987" w:type="dxa"/>
            <w:shd w:val="clear" w:color="auto" w:fill="17324D"/>
            <w:vAlign w:val="center"/>
          </w:tcPr>
          <w:p w14:paraId="2B8B1EB0" w14:textId="77777777" w:rsidR="00D65FD8" w:rsidRDefault="00000000">
            <w:pPr>
              <w:spacing w:after="0"/>
            </w:pPr>
            <w:r>
              <w:rPr>
                <w:b/>
                <w:color w:val="FFFFFF"/>
                <w:sz w:val="17"/>
              </w:rPr>
              <w:t>Speed</w:t>
            </w:r>
          </w:p>
        </w:tc>
        <w:tc>
          <w:tcPr>
            <w:tcW w:w="1987" w:type="dxa"/>
            <w:shd w:val="clear" w:color="auto" w:fill="17324D"/>
            <w:vAlign w:val="center"/>
          </w:tcPr>
          <w:p w14:paraId="1325178A" w14:textId="77777777" w:rsidR="00D65FD8" w:rsidRDefault="00000000">
            <w:pPr>
              <w:spacing w:after="0"/>
            </w:pPr>
            <w:r>
              <w:rPr>
                <w:b/>
                <w:color w:val="FFFFFF"/>
                <w:sz w:val="17"/>
              </w:rPr>
              <w:t>Dominant mechanism</w:t>
            </w:r>
          </w:p>
        </w:tc>
      </w:tr>
      <w:tr w:rsidR="00D65FD8" w14:paraId="69268498" w14:textId="77777777">
        <w:trPr>
          <w:jc w:val="center"/>
        </w:trPr>
        <w:tc>
          <w:tcPr>
            <w:tcW w:w="1987" w:type="dxa"/>
            <w:vAlign w:val="center"/>
          </w:tcPr>
          <w:p w14:paraId="7CA7EB25" w14:textId="77777777" w:rsidR="00D65FD8" w:rsidRDefault="00000000">
            <w:pPr>
              <w:spacing w:after="0"/>
            </w:pPr>
            <w:r>
              <w:rPr>
                <w:sz w:val="17"/>
              </w:rPr>
              <w:t>Rate hike</w:t>
            </w:r>
          </w:p>
        </w:tc>
        <w:tc>
          <w:tcPr>
            <w:tcW w:w="1987" w:type="dxa"/>
            <w:vAlign w:val="center"/>
          </w:tcPr>
          <w:p w14:paraId="50F4DC2F" w14:textId="77777777" w:rsidR="00D65FD8" w:rsidRDefault="00000000">
            <w:pPr>
              <w:spacing w:after="0"/>
            </w:pPr>
            <w:r>
              <w:rPr>
                <w:sz w:val="17"/>
              </w:rPr>
              <w:t>0%</w:t>
            </w:r>
          </w:p>
        </w:tc>
        <w:tc>
          <w:tcPr>
            <w:tcW w:w="1987" w:type="dxa"/>
            <w:vAlign w:val="center"/>
          </w:tcPr>
          <w:p w14:paraId="5CAFC6B9" w14:textId="77777777" w:rsidR="00D65FD8" w:rsidRDefault="00000000">
            <w:pPr>
              <w:spacing w:after="0"/>
            </w:pPr>
            <w:r>
              <w:rPr>
                <w:sz w:val="17"/>
              </w:rPr>
              <w:t>None</w:t>
            </w:r>
          </w:p>
        </w:tc>
        <w:tc>
          <w:tcPr>
            <w:tcW w:w="1987" w:type="dxa"/>
            <w:vAlign w:val="center"/>
          </w:tcPr>
          <w:p w14:paraId="5E678444" w14:textId="77777777" w:rsidR="00D65FD8" w:rsidRDefault="00000000">
            <w:pPr>
              <w:spacing w:after="0"/>
            </w:pPr>
            <w:r>
              <w:rPr>
                <w:sz w:val="17"/>
              </w:rPr>
              <w:t>Immediate stabilization</w:t>
            </w:r>
          </w:p>
        </w:tc>
        <w:tc>
          <w:tcPr>
            <w:tcW w:w="1987" w:type="dxa"/>
            <w:vAlign w:val="center"/>
          </w:tcPr>
          <w:p w14:paraId="444A1578" w14:textId="77777777" w:rsidR="00D65FD8" w:rsidRDefault="00000000">
            <w:pPr>
              <w:spacing w:after="0"/>
            </w:pPr>
            <w:r>
              <w:rPr>
                <w:sz w:val="17"/>
              </w:rPr>
              <w:t>Valuation</w:t>
            </w:r>
          </w:p>
        </w:tc>
      </w:tr>
      <w:tr w:rsidR="00D65FD8" w14:paraId="0ACBA648" w14:textId="77777777">
        <w:trPr>
          <w:jc w:val="center"/>
        </w:trPr>
        <w:tc>
          <w:tcPr>
            <w:tcW w:w="1987" w:type="dxa"/>
            <w:vAlign w:val="center"/>
          </w:tcPr>
          <w:p w14:paraId="05B9998F" w14:textId="77777777" w:rsidR="00D65FD8" w:rsidRDefault="00000000">
            <w:pPr>
              <w:spacing w:after="0"/>
            </w:pPr>
            <w:r>
              <w:rPr>
                <w:sz w:val="17"/>
              </w:rPr>
              <w:t>50% CP freeze</w:t>
            </w:r>
          </w:p>
        </w:tc>
        <w:tc>
          <w:tcPr>
            <w:tcW w:w="1987" w:type="dxa"/>
            <w:vAlign w:val="center"/>
          </w:tcPr>
          <w:p w14:paraId="3C44AA5D" w14:textId="77777777" w:rsidR="00D65FD8" w:rsidRDefault="00000000">
            <w:pPr>
              <w:spacing w:after="0"/>
            </w:pPr>
            <w:r>
              <w:rPr>
                <w:sz w:val="17"/>
              </w:rPr>
              <w:t>140–180%</w:t>
            </w:r>
          </w:p>
        </w:tc>
        <w:tc>
          <w:tcPr>
            <w:tcW w:w="1987" w:type="dxa"/>
            <w:vAlign w:val="center"/>
          </w:tcPr>
          <w:p w14:paraId="31487A18" w14:textId="77777777" w:rsidR="00D65FD8" w:rsidRDefault="00000000">
            <w:pPr>
              <w:spacing w:after="0"/>
            </w:pPr>
            <w:r>
              <w:rPr>
                <w:sz w:val="17"/>
              </w:rPr>
              <w:t>NBFC, mutual fund</w:t>
            </w:r>
          </w:p>
        </w:tc>
        <w:tc>
          <w:tcPr>
            <w:tcW w:w="1987" w:type="dxa"/>
            <w:vAlign w:val="center"/>
          </w:tcPr>
          <w:p w14:paraId="4480A90F" w14:textId="77777777" w:rsidR="00D65FD8" w:rsidRDefault="00000000">
            <w:pPr>
              <w:spacing w:after="0"/>
            </w:pPr>
            <w:r>
              <w:rPr>
                <w:sz w:val="17"/>
              </w:rPr>
              <w:t>1 round</w:t>
            </w:r>
          </w:p>
        </w:tc>
        <w:tc>
          <w:tcPr>
            <w:tcW w:w="1987" w:type="dxa"/>
            <w:vAlign w:val="center"/>
          </w:tcPr>
          <w:p w14:paraId="16E28316" w14:textId="77777777" w:rsidR="00D65FD8" w:rsidRDefault="00000000">
            <w:pPr>
              <w:spacing w:after="0"/>
            </w:pPr>
            <w:r>
              <w:rPr>
                <w:sz w:val="17"/>
              </w:rPr>
              <w:t>Liquidity cascade</w:t>
            </w:r>
          </w:p>
        </w:tc>
      </w:tr>
      <w:tr w:rsidR="00D65FD8" w14:paraId="626E5A4B" w14:textId="77777777">
        <w:trPr>
          <w:jc w:val="center"/>
        </w:trPr>
        <w:tc>
          <w:tcPr>
            <w:tcW w:w="1987" w:type="dxa"/>
            <w:vAlign w:val="center"/>
          </w:tcPr>
          <w:p w14:paraId="41B6CFFA" w14:textId="77777777" w:rsidR="00D65FD8" w:rsidRDefault="00000000">
            <w:pPr>
              <w:spacing w:after="0"/>
            </w:pPr>
            <w:r>
              <w:rPr>
                <w:sz w:val="17"/>
              </w:rPr>
              <w:lastRenderedPageBreak/>
              <w:t>Credit downgrade</w:t>
            </w:r>
          </w:p>
        </w:tc>
        <w:tc>
          <w:tcPr>
            <w:tcW w:w="1987" w:type="dxa"/>
            <w:vAlign w:val="center"/>
          </w:tcPr>
          <w:p w14:paraId="1D559006" w14:textId="77777777" w:rsidR="00D65FD8" w:rsidRDefault="00000000">
            <w:pPr>
              <w:spacing w:after="0"/>
            </w:pPr>
            <w:r>
              <w:rPr>
                <w:sz w:val="17"/>
              </w:rPr>
              <w:t>Up to 678%</w:t>
            </w:r>
          </w:p>
        </w:tc>
        <w:tc>
          <w:tcPr>
            <w:tcW w:w="1987" w:type="dxa"/>
            <w:vAlign w:val="center"/>
          </w:tcPr>
          <w:p w14:paraId="768306B9" w14:textId="77777777" w:rsidR="00D65FD8" w:rsidRDefault="00000000">
            <w:pPr>
              <w:spacing w:after="0"/>
            </w:pPr>
            <w:r>
              <w:rPr>
                <w:sz w:val="17"/>
              </w:rPr>
              <w:t>Bank A</w:t>
            </w:r>
          </w:p>
        </w:tc>
        <w:tc>
          <w:tcPr>
            <w:tcW w:w="1987" w:type="dxa"/>
            <w:vAlign w:val="center"/>
          </w:tcPr>
          <w:p w14:paraId="1BA5F187" w14:textId="77777777" w:rsidR="00D65FD8" w:rsidRDefault="00000000">
            <w:pPr>
              <w:spacing w:after="0"/>
            </w:pPr>
            <w:r>
              <w:rPr>
                <w:sz w:val="17"/>
              </w:rPr>
              <w:t>Slow: 7 rounds</w:t>
            </w:r>
          </w:p>
        </w:tc>
        <w:tc>
          <w:tcPr>
            <w:tcW w:w="1987" w:type="dxa"/>
            <w:vAlign w:val="center"/>
          </w:tcPr>
          <w:p w14:paraId="482F8782" w14:textId="77777777" w:rsidR="00D65FD8" w:rsidRDefault="00000000">
            <w:pPr>
              <w:spacing w:after="0"/>
            </w:pPr>
            <w:r>
              <w:rPr>
                <w:sz w:val="17"/>
              </w:rPr>
              <w:t>Capital erosion</w:t>
            </w:r>
          </w:p>
        </w:tc>
      </w:tr>
    </w:tbl>
    <w:p w14:paraId="3E8AE7CE" w14:textId="77777777" w:rsidR="00D65FD8" w:rsidRDefault="00000000">
      <w:r>
        <w:t>These outcomes reveal why the label attached to a shock is less informative than the constraint it hits first.</w:t>
      </w:r>
    </w:p>
    <w:p w14:paraId="71EBADA3" w14:textId="77777777" w:rsidR="00D65FD8" w:rsidRDefault="00000000">
      <w:pPr>
        <w:pStyle w:val="ListBullet"/>
      </w:pPr>
      <w:r>
        <w:t>When equity buffers absorb the loss, the shock stops.</w:t>
      </w:r>
    </w:p>
    <w:p w14:paraId="79714451" w14:textId="77777777" w:rsidR="00D65FD8" w:rsidRDefault="00000000">
      <w:pPr>
        <w:pStyle w:val="ListBullet"/>
      </w:pPr>
      <w:r>
        <w:t>When liquidity is withdrawn, the network cascades.</w:t>
      </w:r>
    </w:p>
    <w:p w14:paraId="0956CC3E" w14:textId="77777777" w:rsidR="00D65FD8" w:rsidRDefault="00000000">
      <w:pPr>
        <w:pStyle w:val="ListBullet"/>
      </w:pPr>
      <w:r>
        <w:t>When capital erodes gradually, failure can be delayed but much more strongly amplified.</w:t>
      </w:r>
    </w:p>
    <w:p w14:paraId="61E620E4" w14:textId="77777777" w:rsidR="00D65FD8" w:rsidRDefault="00000000">
      <w:pPr>
        <w:pStyle w:val="Heading1"/>
      </w:pPr>
      <w:r>
        <w:t>7. The deeper insight: resilience is constraint-specific</w:t>
      </w:r>
    </w:p>
    <w:p w14:paraId="5488B7C6" w14:textId="77777777" w:rsidR="00D65FD8" w:rsidRDefault="00000000">
      <w:r>
        <w:t>A financial system is not simply “strong” or “fragile.” It can be resilient to one class of shock and highly vulnerable to another. The same institutions, with the same opening balance sheets, survive a rate shock, collapse almost immediately under a funding freeze, and experience a slow bank failure under a credit downgrade.</w:t>
      </w:r>
    </w:p>
    <w:p w14:paraId="1BFF04D1" w14:textId="77777777" w:rsidR="00D65FD8" w:rsidRDefault="00000000">
      <w:r>
        <w:t>That difference comes from institutional behaviour. Equity losses matter when they breach capital limits. Funding losses matter when liabilities must be rolled over. Mark-to-market losses matter when investors can redeem immediately. Credit losses matter when provisioning and lending contraction feed back into borrower quality.</w:t>
      </w:r>
    </w:p>
    <w:tbl>
      <w:tblPr>
        <w:tblW w:w="0" w:type="auto"/>
        <w:jc w:val="center"/>
        <w:tblLook w:val="04A0" w:firstRow="1" w:lastRow="0" w:firstColumn="1" w:lastColumn="0" w:noHBand="0" w:noVBand="1"/>
      </w:tblPr>
      <w:tblGrid>
        <w:gridCol w:w="9936"/>
      </w:tblGrid>
      <w:tr w:rsidR="00D65FD8" w14:paraId="4372EEA5" w14:textId="77777777">
        <w:trPr>
          <w:jc w:val="center"/>
        </w:trPr>
        <w:tc>
          <w:tcPr>
            <w:tcW w:w="9936" w:type="dxa"/>
            <w:shd w:val="clear" w:color="auto" w:fill="EAF2F7"/>
          </w:tcPr>
          <w:p w14:paraId="21689042" w14:textId="77777777" w:rsidR="00D65FD8" w:rsidRDefault="00000000">
            <w:pPr>
              <w:pStyle w:val="Callout"/>
              <w:rPr>
                <w:rFonts w:hint="eastAsia"/>
              </w:rPr>
            </w:pPr>
            <w:r>
              <w:t>Systemic risk is created not only by common exposures, but by the actions institutions are forced to take after those exposures are hit.</w:t>
            </w:r>
          </w:p>
        </w:tc>
      </w:tr>
    </w:tbl>
    <w:p w14:paraId="2B3A1266" w14:textId="77777777" w:rsidR="00D65FD8" w:rsidRDefault="00D65FD8"/>
    <w:p w14:paraId="6DE0A074" w14:textId="77777777" w:rsidR="00D65FD8" w:rsidRDefault="00000000">
      <w:r>
        <w:t>This is why a balance-sheet network view is useful. It does not stop at asking who owns the impaired asset. It asks who must sell, who must withdraw funding, who must cut credit, and where that response returns as a second-round loss.</w:t>
      </w:r>
    </w:p>
    <w:p w14:paraId="5D787454" w14:textId="77777777" w:rsidR="00D65FD8" w:rsidRDefault="00000000">
      <w:pPr>
        <w:pStyle w:val="Heading1"/>
      </w:pPr>
      <w:r>
        <w:t>Conclusion</w:t>
      </w:r>
    </w:p>
    <w:p w14:paraId="7113B3D2" w14:textId="77777777" w:rsidR="00D65FD8" w:rsidRDefault="00000000">
      <w:r>
        <w:t>The three experiments tell a common story. First-round losses are only the visible surface of financial stress. The eventual outcome is determined by feedback: whether capital absorbs the hit, liquidity vanishes, or balance-sheet tightening slowly damages the real economy and returns as fresh credit losses.</w:t>
      </w:r>
    </w:p>
    <w:p w14:paraId="1BE6826B" w14:textId="77777777" w:rsidR="00D65FD8" w:rsidRDefault="00000000">
      <w:r>
        <w:t>In this model, the 50 bps rate hike is contained. The 50% commercial-paper freeze creates an immediate liquidity cascade that wipes out the NBFC and mutual fund. The credit downgrade appears manageable at first, yet repeated capital erosion drives Bank A into insolvency after seven rounds.</w:t>
      </w:r>
    </w:p>
    <w:p w14:paraId="7525F18C" w14:textId="77777777" w:rsidR="00D65FD8" w:rsidRDefault="00000000">
      <w:pPr>
        <w:pStyle w:val="Lead"/>
        <w:rPr>
          <w:rFonts w:hint="eastAsia"/>
        </w:rPr>
      </w:pPr>
      <w:r>
        <w:t>The practical lesson is therefore not merely to measure the size of the initial shock. It is to identify the first binding constraint—and then trace every forced response through the network until the system either stabilizes or fails.</w:t>
      </w:r>
    </w:p>
    <w:p w14:paraId="4BB08E48" w14:textId="77777777" w:rsidR="00D65FD8" w:rsidRDefault="00000000">
      <w:pPr>
        <w:pStyle w:val="Heading1"/>
      </w:pPr>
      <w:r>
        <w:t>Method note</w:t>
      </w:r>
    </w:p>
    <w:p w14:paraId="4F4F34E6" w14:textId="77777777" w:rsidR="00D65FD8" w:rsidRDefault="00000000">
      <w:r>
        <w:t>This is an illustrative balance-sheet network designed to isolate transmission mechanisms. The values are model units rather than estimates of the full Indian financial system. The model emphasizes accounting links, funding dependence, mark-to-market transmission and iterative behavioural responses; it does not claim to capture every regulatory, institutional or market feature.</w:t>
      </w:r>
    </w:p>
    <w:sectPr w:rsidR="00D65FD8"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8398309">
    <w:abstractNumId w:val="8"/>
  </w:num>
  <w:num w:numId="2" w16cid:durableId="1091774572">
    <w:abstractNumId w:val="6"/>
  </w:num>
  <w:num w:numId="3" w16cid:durableId="2132742189">
    <w:abstractNumId w:val="5"/>
  </w:num>
  <w:num w:numId="4" w16cid:durableId="201331602">
    <w:abstractNumId w:val="4"/>
  </w:num>
  <w:num w:numId="5" w16cid:durableId="442265314">
    <w:abstractNumId w:val="7"/>
  </w:num>
  <w:num w:numId="6" w16cid:durableId="355814557">
    <w:abstractNumId w:val="3"/>
  </w:num>
  <w:num w:numId="7" w16cid:durableId="1511408135">
    <w:abstractNumId w:val="2"/>
  </w:num>
  <w:num w:numId="8" w16cid:durableId="1397703315">
    <w:abstractNumId w:val="1"/>
  </w:num>
  <w:num w:numId="9" w16cid:durableId="428277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38DA"/>
    <w:rsid w:val="00034616"/>
    <w:rsid w:val="000437F5"/>
    <w:rsid w:val="0006063C"/>
    <w:rsid w:val="0015074B"/>
    <w:rsid w:val="0017756F"/>
    <w:rsid w:val="001E2C87"/>
    <w:rsid w:val="001E54E3"/>
    <w:rsid w:val="00203D0C"/>
    <w:rsid w:val="0029639D"/>
    <w:rsid w:val="00326F90"/>
    <w:rsid w:val="00431396"/>
    <w:rsid w:val="004779F0"/>
    <w:rsid w:val="0050452F"/>
    <w:rsid w:val="00695FA2"/>
    <w:rsid w:val="00806DA3"/>
    <w:rsid w:val="00846414"/>
    <w:rsid w:val="009A60E4"/>
    <w:rsid w:val="00A46706"/>
    <w:rsid w:val="00AA1D8D"/>
    <w:rsid w:val="00B47730"/>
    <w:rsid w:val="00BA4F4B"/>
    <w:rsid w:val="00C05131"/>
    <w:rsid w:val="00CB0664"/>
    <w:rsid w:val="00D65FD8"/>
    <w:rsid w:val="00F26F28"/>
    <w:rsid w:val="00F83D8C"/>
    <w:rsid w:val="00F86F8B"/>
    <w:rsid w:val="00FA097A"/>
    <w:rsid w:val="00FC693F"/>
    <w:rsid w:val="00FE6A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58ADB5"/>
  <w14:defaultImageDpi w14:val="300"/>
  <w15:docId w15:val="{56E6187F-D757-46E4-AE23-D10364A9C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17324D"/>
      <w:sz w:val="38"/>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F5D7C"/>
      <w:sz w:val="28"/>
      <w:szCs w:val="26"/>
    </w:rPr>
  </w:style>
  <w:style w:type="paragraph" w:styleId="Heading3">
    <w:name w:val="heading 3"/>
    <w:basedOn w:val="Normal"/>
    <w:next w:val="Normal"/>
    <w:link w:val="Heading3Char"/>
    <w:uiPriority w:val="9"/>
    <w:unhideWhenUsed/>
    <w:qFormat/>
    <w:rsid w:val="00FC693F"/>
    <w:pPr>
      <w:keepNext/>
      <w:keepLines/>
      <w:spacing w:before="240"/>
      <w:outlineLvl w:val="2"/>
    </w:pPr>
    <w:rPr>
      <w:rFonts w:asciiTheme="majorHAnsi" w:eastAsiaTheme="majorEastAsia" w:hAnsiTheme="majorHAnsi" w:cstheme="majorBidi"/>
      <w:b/>
      <w:bCs/>
      <w:color w:val="4B6B7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40" w:line="240" w:lineRule="auto"/>
      <w:contextualSpacing/>
    </w:pPr>
    <w:rPr>
      <w:rFonts w:asciiTheme="majorHAnsi" w:eastAsiaTheme="majorEastAsia" w:hAnsiTheme="majorHAnsi" w:cstheme="majorBidi"/>
      <w:b/>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jc w:val="center"/>
    </w:pPr>
    <w:rPr>
      <w:b/>
      <w:bCs/>
      <w:i/>
      <w:color w:val="5F5F5F"/>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ck">
    <w:name w:val="Deck"/>
    <w:rPr>
      <w:rFonts w:ascii="Aptos" w:hAnsi="Aptos"/>
      <w:i/>
      <w:color w:val="465662"/>
      <w:sz w:val="28"/>
    </w:rPr>
  </w:style>
  <w:style w:type="paragraph" w:customStyle="1" w:styleId="Lead">
    <w:name w:val="Lead"/>
    <w:rPr>
      <w:rFonts w:ascii="Aptos" w:hAnsi="Aptos"/>
      <w:b/>
      <w:color w:val="243748"/>
      <w:sz w:val="24"/>
    </w:rPr>
  </w:style>
  <w:style w:type="paragraph" w:customStyle="1" w:styleId="Callout">
    <w:name w:val="Callout"/>
    <w:rPr>
      <w:rFonts w:ascii="Aptos" w:hAnsi="Aptos"/>
      <w:b/>
      <w:color w:val="17324D"/>
    </w:rPr>
  </w:style>
  <w:style w:type="paragraph" w:customStyle="1" w:styleId="Small">
    <w:name w:val="Small"/>
    <w:rPr>
      <w:rFonts w:ascii="Aptos" w:hAnsi="Apto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2040</Words>
  <Characters>11630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13643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Financial Shocks Propagate: A Balance-Sheet Network Model</dc:title>
  <dc:subject>Blog-ready research article</dc:subject>
  <dc:creator>Siddhartha Pradeep</dc:creator>
  <cp:keywords/>
  <dc:description>generated by python-docx</dc:description>
  <cp:lastModifiedBy>Siddhartha Pradeep</cp:lastModifiedBy>
  <cp:revision>21</cp:revision>
  <dcterms:created xsi:type="dcterms:W3CDTF">2013-12-23T23:15:00Z</dcterms:created>
  <dcterms:modified xsi:type="dcterms:W3CDTF">2026-07-28T15:51:00Z</dcterms:modified>
  <cp:category/>
</cp:coreProperties>
</file>